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E6" w:rsidRPr="00C82E2E" w:rsidRDefault="00554EE6" w:rsidP="00AE3BA9">
      <w:pPr>
        <w:pStyle w:val="NormalWeb"/>
        <w:spacing w:before="0" w:beforeAutospacing="0" w:after="0" w:afterAutospacing="0"/>
        <w:ind w:left="150"/>
        <w:jc w:val="center"/>
        <w:rPr>
          <w:sz w:val="20"/>
          <w:szCs w:val="20"/>
        </w:rPr>
      </w:pPr>
      <w:r w:rsidRPr="00C82E2E">
        <w:rPr>
          <w:b/>
          <w:bCs/>
          <w:sz w:val="20"/>
          <w:szCs w:val="20"/>
          <w:shd w:val="clear" w:color="auto" w:fill="FFFF00"/>
        </w:rPr>
        <w:t>Évolution des quantités de matière au cours d’une transformation chimique.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/>
          <w:sz w:val="20"/>
          <w:szCs w:val="20"/>
          <w:shd w:val="clear" w:color="auto" w:fill="CCFFFF"/>
        </w:rPr>
        <w:t xml:space="preserve">1)- </w:t>
      </w:r>
      <w:r w:rsidRPr="00C82E2E">
        <w:rPr>
          <w:sz w:val="20"/>
          <w:szCs w:val="20"/>
          <w:shd w:val="clear" w:color="auto" w:fill="CCFFFF"/>
        </w:rPr>
        <w:t>Étude d’un exemple.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jc w:val="both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a-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 xml:space="preserve">Exemple : la combustion du propane dans le dioxygène donne du dioxyde de carbone et de l’eau. On fait brûler </w:t>
      </w:r>
      <w:r w:rsidRPr="00C82E2E">
        <w:rPr>
          <w:b/>
          <w:bCs/>
          <w:sz w:val="20"/>
          <w:szCs w:val="20"/>
        </w:rPr>
        <w:t>n</w:t>
      </w:r>
      <w:r w:rsidRPr="00C82E2E">
        <w:rPr>
          <w:b/>
          <w:bCs/>
          <w:sz w:val="20"/>
          <w:szCs w:val="20"/>
          <w:vertAlign w:val="subscript"/>
        </w:rPr>
        <w:t>1</w:t>
      </w:r>
      <w:r w:rsidRPr="00C82E2E">
        <w:rPr>
          <w:sz w:val="20"/>
          <w:szCs w:val="20"/>
        </w:rPr>
        <w:t xml:space="preserve"> = 1,0 mole de propane dans </w:t>
      </w:r>
      <w:r w:rsidRPr="00C82E2E">
        <w:rPr>
          <w:b/>
          <w:bCs/>
          <w:sz w:val="20"/>
          <w:szCs w:val="20"/>
        </w:rPr>
        <w:t>n</w:t>
      </w:r>
      <w:r w:rsidRPr="00C82E2E">
        <w:rPr>
          <w:b/>
          <w:bCs/>
          <w:sz w:val="20"/>
          <w:szCs w:val="20"/>
          <w:vertAlign w:val="subscript"/>
        </w:rPr>
        <w:t>2</w:t>
      </w:r>
      <w:r w:rsidRPr="00C82E2E">
        <w:rPr>
          <w:sz w:val="20"/>
          <w:szCs w:val="20"/>
        </w:rPr>
        <w:t>= 3,0 moles de dioxygène. Les conditions de températures et de pression sont les suivantes:</w:t>
      </w:r>
      <w:r w:rsidRPr="00C82E2E">
        <w:rPr>
          <w:b/>
          <w:bCs/>
          <w:sz w:val="20"/>
          <w:szCs w:val="20"/>
        </w:rPr>
        <w:t>p</w:t>
      </w:r>
      <w:r w:rsidRPr="00C82E2E">
        <w:rPr>
          <w:sz w:val="20"/>
          <w:szCs w:val="20"/>
        </w:rPr>
        <w:t xml:space="preserve">=1013 hPa et </w:t>
      </w:r>
      <w:r w:rsidRPr="00C82E2E">
        <w:rPr>
          <w:rFonts w:ascii="Symbol" w:hAnsi="Symbol"/>
          <w:b/>
          <w:bCs/>
          <w:sz w:val="20"/>
          <w:szCs w:val="20"/>
        </w:rPr>
        <w:t></w:t>
      </w:r>
      <w:r w:rsidRPr="00C82E2E">
        <w:rPr>
          <w:sz w:val="20"/>
          <w:szCs w:val="20"/>
        </w:rPr>
        <w:t>=20 °C. 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sz w:val="20"/>
          <w:szCs w:val="20"/>
        </w:rPr>
        <w:t xml:space="preserve">Formule du propane </w:t>
      </w:r>
      <w:r w:rsidRPr="00C82E2E">
        <w:rPr>
          <w:b/>
          <w:bCs/>
          <w:sz w:val="20"/>
          <w:szCs w:val="20"/>
        </w:rPr>
        <w:t>C</w:t>
      </w:r>
      <w:r w:rsidRPr="00C82E2E">
        <w:rPr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3</w:t>
      </w:r>
      <w:r w:rsidRPr="00C82E2E">
        <w:rPr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</w:rPr>
        <w:t>H</w:t>
      </w:r>
      <w:r w:rsidRPr="00C82E2E">
        <w:rPr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8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>Donner l’état initial du système chimique.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>Donner l’état final du système chimique obtenu lorsque la réaction est finie.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b-</w:t>
      </w:r>
      <w:r w:rsidRPr="00C82E2E">
        <w:rPr>
          <w:rFonts w:eastAsia="Arial"/>
          <w:sz w:val="20"/>
          <w:szCs w:val="20"/>
        </w:rPr>
        <w:t xml:space="preserve"> </w:t>
      </w:r>
      <w:r w:rsidRPr="00C82E2E">
        <w:rPr>
          <w:sz w:val="20"/>
          <w:szCs w:val="20"/>
        </w:rPr>
        <w:t>État initial du système.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99CCFF"/>
        <w:tblLook w:val="00BF"/>
      </w:tblPr>
      <w:tblGrid>
        <w:gridCol w:w="2355"/>
      </w:tblGrid>
      <w:tr w:rsidR="00554EE6" w:rsidRPr="00C82E2E" w:rsidTr="001E1E96">
        <w:trPr>
          <w:trHeight w:val="283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caps/>
                <w:sz w:val="20"/>
                <w:szCs w:val="20"/>
              </w:rPr>
              <w:t>é</w:t>
            </w:r>
            <w:r w:rsidRPr="00C82E2E">
              <w:rPr>
                <w:b/>
                <w:sz w:val="20"/>
                <w:szCs w:val="20"/>
              </w:rPr>
              <w:t xml:space="preserve">tat initial </w:t>
            </w:r>
          </w:p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(E.I) </w:t>
            </w:r>
          </w:p>
        </w:tc>
      </w:tr>
      <w:tr w:rsidR="00554EE6" w:rsidRPr="00C82E2E" w:rsidTr="001E1E96">
        <w:trPr>
          <w:trHeight w:val="283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p</w:t>
            </w:r>
            <w:r w:rsidRPr="00C82E2E">
              <w:rPr>
                <w:sz w:val="20"/>
                <w:szCs w:val="20"/>
              </w:rPr>
              <w:t xml:space="preserve"> = 1013 hPa</w:t>
            </w:r>
          </w:p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rFonts w:ascii="Symbol" w:hAnsi="Symbol"/>
                <w:b/>
                <w:sz w:val="20"/>
                <w:szCs w:val="20"/>
              </w:rPr>
              <w:t></w:t>
            </w:r>
            <w:r w:rsidRPr="00C82E2E">
              <w:rPr>
                <w:sz w:val="20"/>
                <w:szCs w:val="20"/>
              </w:rPr>
              <w:t xml:space="preserve"> = 20 °C </w:t>
            </w:r>
          </w:p>
        </w:tc>
      </w:tr>
      <w:tr w:rsidR="00554EE6" w:rsidRPr="00C82E2E" w:rsidTr="001E1E96">
        <w:trPr>
          <w:trHeight w:val="283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i</w:t>
            </w:r>
            <w:r w:rsidRPr="00C82E2E">
              <w:rPr>
                <w:b/>
                <w:sz w:val="20"/>
                <w:szCs w:val="20"/>
              </w:rPr>
              <w:t xml:space="preserve"> (C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8</w:t>
            </w:r>
            <w:r w:rsidRPr="00C82E2E">
              <w:rPr>
                <w:b/>
                <w:sz w:val="20"/>
                <w:szCs w:val="20"/>
              </w:rPr>
              <w:t>) = n</w:t>
            </w:r>
            <w:r w:rsidRPr="00C82E2E">
              <w:rPr>
                <w:rFonts w:cs="Arial"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1</w:t>
            </w:r>
            <w:r w:rsidRPr="00C82E2E">
              <w:rPr>
                <w:sz w:val="20"/>
                <w:szCs w:val="20"/>
              </w:rPr>
              <w:t xml:space="preserve"> = 1,0 mol</w:t>
            </w:r>
            <w:r w:rsidRPr="00C82E2E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554EE6" w:rsidRPr="00C82E2E" w:rsidTr="001E1E96">
        <w:trPr>
          <w:trHeight w:val="283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i</w:t>
            </w:r>
            <w:r w:rsidRPr="00C82E2E">
              <w:rPr>
                <w:b/>
                <w:sz w:val="20"/>
                <w:szCs w:val="20"/>
              </w:rPr>
              <w:t xml:space="preserve"> (O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>) = n</w:t>
            </w:r>
            <w:r w:rsidRPr="00C82E2E">
              <w:rPr>
                <w:rFonts w:cs="Arial"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= 3,0 mol</w:t>
            </w:r>
            <w:r w:rsidRPr="00C82E2E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554EE6" w:rsidRPr="00C82E2E" w:rsidTr="001E1E96">
        <w:trPr>
          <w:trHeight w:val="283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i</w:t>
            </w:r>
            <w:r w:rsidRPr="00C82E2E">
              <w:rPr>
                <w:b/>
                <w:sz w:val="20"/>
                <w:szCs w:val="20"/>
              </w:rPr>
              <w:t xml:space="preserve"> (CO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) = </w:t>
            </w:r>
            <w:r w:rsidRPr="00C82E2E">
              <w:rPr>
                <w:rFonts w:cs="Arial"/>
                <w:sz w:val="20"/>
                <w:szCs w:val="20"/>
              </w:rPr>
              <w:t>0,0 mol</w:t>
            </w:r>
          </w:p>
        </w:tc>
      </w:tr>
      <w:tr w:rsidR="00554EE6" w:rsidRPr="00C82E2E" w:rsidTr="001E1E96">
        <w:trPr>
          <w:trHeight w:val="283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1E1E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i</w:t>
            </w:r>
            <w:r w:rsidRPr="00C82E2E">
              <w:rPr>
                <w:b/>
                <w:sz w:val="20"/>
                <w:szCs w:val="20"/>
              </w:rPr>
              <w:t xml:space="preserve"> (H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O) = </w:t>
            </w:r>
            <w:r w:rsidRPr="00C82E2E">
              <w:rPr>
                <w:rFonts w:cs="Arial"/>
                <w:sz w:val="20"/>
                <w:szCs w:val="20"/>
              </w:rPr>
              <w:t>0,0 mol</w:t>
            </w:r>
          </w:p>
        </w:tc>
      </w:tr>
    </w:tbl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>Pour donner l’état final du système chimique, il faut utiliser l’équation de la transformation chimique et réaliser un tableau d’avancement de la réaction.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>Équation de la réaction :</w:t>
      </w:r>
    </w:p>
    <w:tbl>
      <w:tblPr>
        <w:tblW w:w="0" w:type="auto"/>
        <w:jc w:val="center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</w:tblBorders>
        <w:shd w:val="clear" w:color="auto" w:fill="99CCFF"/>
        <w:tblLook w:val="00BF"/>
      </w:tblPr>
      <w:tblGrid>
        <w:gridCol w:w="5426"/>
      </w:tblGrid>
      <w:tr w:rsidR="00554EE6" w:rsidRPr="00C82E2E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C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8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       +</w:t>
            </w:r>
            <w:r w:rsidRPr="00C82E2E">
              <w:rPr>
                <w:b/>
                <w:sz w:val="20"/>
                <w:szCs w:val="20"/>
              </w:rPr>
              <w:t xml:space="preserve">     5 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  </w:t>
            </w:r>
            <w:r w:rsidRPr="00C82E2E">
              <w:rPr>
                <w:b/>
                <w:sz w:val="20"/>
                <w:szCs w:val="20"/>
              </w:rPr>
              <w:t xml:space="preserve">    </w:t>
            </w:r>
            <w:r w:rsidRPr="00C82E2E">
              <w:rPr>
                <w:rFonts w:cs="Arial"/>
                <w:sz w:val="20"/>
                <w:szCs w:val="20"/>
              </w:rPr>
              <w:t>→</w:t>
            </w:r>
            <w:r w:rsidRPr="00C82E2E">
              <w:rPr>
                <w:sz w:val="20"/>
                <w:szCs w:val="20"/>
              </w:rPr>
              <w:t xml:space="preserve">     </w:t>
            </w:r>
            <w:r w:rsidRPr="00C82E2E">
              <w:rPr>
                <w:b/>
                <w:sz w:val="20"/>
                <w:szCs w:val="20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 CO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  +</w:t>
            </w:r>
            <w:r w:rsidRPr="00C82E2E">
              <w:rPr>
                <w:b/>
                <w:sz w:val="20"/>
                <w:szCs w:val="20"/>
              </w:rPr>
              <w:t xml:space="preserve">    4 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O</w:t>
            </w:r>
            <w:r w:rsidRPr="00C82E2E">
              <w:rPr>
                <w:sz w:val="20"/>
                <w:szCs w:val="20"/>
                <w:vertAlign w:val="subscript"/>
              </w:rPr>
              <w:t xml:space="preserve"> (</w:t>
            </w:r>
            <w:r w:rsidRPr="00C82E2E">
              <w:rPr>
                <w:rFonts w:ascii="BERNARD" w:hAnsi="BERNARD"/>
                <w:sz w:val="20"/>
                <w:szCs w:val="20"/>
                <w:vertAlign w:val="subscript"/>
              </w:rPr>
              <w:t xml:space="preserve">l </w:t>
            </w:r>
            <w:r w:rsidRPr="00C82E2E">
              <w:rPr>
                <w:sz w:val="20"/>
                <w:szCs w:val="20"/>
                <w:vertAlign w:val="subscript"/>
              </w:rPr>
              <w:t>)</w:t>
            </w:r>
            <w:r w:rsidRPr="00C82E2E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Traduction : 1 mole de propane réagit avec 5 moles de dioxygène pour donner 3 moles de dioxyde de carbone et 4 moles d’eau.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 xml:space="preserve">c- </w:t>
      </w:r>
      <w:r w:rsidRPr="00C82E2E">
        <w:rPr>
          <w:sz w:val="20"/>
          <w:szCs w:val="20"/>
        </w:rPr>
        <w:t xml:space="preserve">Avancement d’une réaction chimique :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 (mol).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L’avancement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 d’une transformation chimique est une grandeur exprimée en mole qui permet de décrire l’état du système au cours de la transformation. 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Il permet d’exprimer les quantités de matière de réactifs et de produits présents dans le système chimique à chaque instant.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L’avancement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 est une quantité de matière. Elle s’exprime en mol.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Dans l’état initial, </w:t>
      </w:r>
      <w:r w:rsidRPr="00C82E2E">
        <w:rPr>
          <w:b/>
          <w:bCs/>
          <w:sz w:val="20"/>
          <w:szCs w:val="20"/>
        </w:rPr>
        <w:t xml:space="preserve">x = </w:t>
      </w:r>
      <w:r w:rsidRPr="00C82E2E">
        <w:rPr>
          <w:sz w:val="20"/>
          <w:szCs w:val="20"/>
        </w:rPr>
        <w:t>0,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caps/>
          <w:sz w:val="20"/>
          <w:szCs w:val="20"/>
        </w:rPr>
        <w:t>a</w:t>
      </w:r>
      <w:r w:rsidRPr="00C82E2E">
        <w:rPr>
          <w:sz w:val="20"/>
          <w:szCs w:val="20"/>
        </w:rPr>
        <w:t>u cours de la transformation,   0</w:t>
      </w:r>
      <w:r w:rsidRPr="00C82E2E">
        <w:rPr>
          <w:b/>
          <w:bCs/>
          <w:sz w:val="20"/>
          <w:szCs w:val="20"/>
        </w:rPr>
        <w:t xml:space="preserve">   ≤  x   ≤  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À l’état final :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</w:rPr>
        <w:t>=</w:t>
      </w:r>
      <w:r w:rsidRPr="00C82E2E">
        <w:rPr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(ceci au niveau de la classe de seconde).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 xml:space="preserve">d- </w:t>
      </w:r>
      <w:r w:rsidRPr="00C82E2E">
        <w:rPr>
          <w:sz w:val="20"/>
          <w:szCs w:val="20"/>
        </w:rPr>
        <w:t>Tableau d’avancement de la réaction :</w:t>
      </w:r>
    </w:p>
    <w:tbl>
      <w:tblPr>
        <w:tblW w:w="7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9"/>
        <w:gridCol w:w="1207"/>
        <w:gridCol w:w="1109"/>
        <w:gridCol w:w="1109"/>
        <w:gridCol w:w="340"/>
        <w:gridCol w:w="899"/>
        <w:gridCol w:w="1080"/>
      </w:tblGrid>
      <w:tr w:rsidR="00554EE6" w:rsidRPr="00C82E2E">
        <w:trPr>
          <w:trHeight w:val="135"/>
          <w:jc w:val="center"/>
        </w:trPr>
        <w:tc>
          <w:tcPr>
            <w:tcW w:w="0" w:type="auto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>Équation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C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8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>+</w:t>
            </w:r>
            <w:r w:rsidRPr="00C82E2E">
              <w:rPr>
                <w:b/>
                <w:sz w:val="20"/>
                <w:szCs w:val="20"/>
              </w:rPr>
              <w:t xml:space="preserve">   5 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→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 CO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double" w:sz="6" w:space="0" w:color="0000FF"/>
            </w:tcBorders>
            <w:shd w:val="clear" w:color="auto" w:fill="FFFF99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>+</w:t>
            </w:r>
            <w:r w:rsidRPr="00C82E2E">
              <w:rPr>
                <w:b/>
                <w:sz w:val="20"/>
                <w:szCs w:val="20"/>
              </w:rPr>
              <w:t xml:space="preserve">  4 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O</w:t>
            </w:r>
            <w:r w:rsidRPr="00C82E2E">
              <w:rPr>
                <w:sz w:val="20"/>
                <w:szCs w:val="20"/>
                <w:vertAlign w:val="subscript"/>
              </w:rPr>
              <w:t xml:space="preserve"> (</w:t>
            </w:r>
            <w:r w:rsidRPr="00C82E2E">
              <w:rPr>
                <w:rFonts w:ascii="BERNARD" w:hAnsi="BERNARD"/>
                <w:sz w:val="20"/>
                <w:szCs w:val="20"/>
                <w:vertAlign w:val="subscript"/>
              </w:rPr>
              <w:t xml:space="preserve">l </w:t>
            </w:r>
            <w:r w:rsidRPr="00C82E2E">
              <w:rPr>
                <w:sz w:val="20"/>
                <w:szCs w:val="20"/>
                <w:vertAlign w:val="subscript"/>
              </w:rPr>
              <w:t>)</w:t>
            </w:r>
            <w:r w:rsidRPr="00C82E2E">
              <w:rPr>
                <w:sz w:val="20"/>
                <w:szCs w:val="20"/>
              </w:rPr>
              <w:t xml:space="preserve">   </w:t>
            </w:r>
          </w:p>
        </w:tc>
      </w:tr>
      <w:tr w:rsidR="00554EE6" w:rsidRPr="00C82E2E">
        <w:trPr>
          <w:cantSplit/>
          <w:trHeight w:val="305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État u système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Avancement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554EE6" w:rsidRPr="00C82E2E">
        <w:trPr>
          <w:cantSplit/>
          <w:trHeight w:val="412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État initial (mol)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x = </w:t>
            </w:r>
            <w:r w:rsidRPr="00C82E2E">
              <w:rPr>
                <w:rFonts w:cs="Arial"/>
                <w:sz w:val="20"/>
                <w:szCs w:val="20"/>
              </w:rPr>
              <w:t>0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n</w:t>
            </w:r>
            <w:r w:rsidRPr="00C82E2E">
              <w:rPr>
                <w:rFonts w:cs="Arial"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1</w:t>
            </w:r>
            <w:r w:rsidRPr="00C82E2E">
              <w:rPr>
                <w:sz w:val="20"/>
                <w:szCs w:val="20"/>
              </w:rPr>
              <w:t xml:space="preserve"> = 1,0 mol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n</w:t>
            </w:r>
            <w:r w:rsidRPr="00C82E2E">
              <w:rPr>
                <w:rFonts w:cs="Arial"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= 3,0 mol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Cs/>
                <w:sz w:val="20"/>
                <w:szCs w:val="20"/>
              </w:rPr>
              <w:t>0,0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Cs/>
                <w:sz w:val="20"/>
                <w:szCs w:val="20"/>
              </w:rPr>
              <w:t>0</w:t>
            </w:r>
            <w:r w:rsidRPr="00C82E2E">
              <w:rPr>
                <w:sz w:val="20"/>
                <w:szCs w:val="20"/>
              </w:rPr>
              <w:t xml:space="preserve">,0 </w:t>
            </w:r>
          </w:p>
        </w:tc>
      </w:tr>
      <w:tr w:rsidR="00554EE6" w:rsidRPr="00C82E2E">
        <w:trPr>
          <w:cantSplit/>
          <w:trHeight w:val="417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Au cours de la </w:t>
            </w:r>
          </w:p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transformation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1,0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-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rFonts w:cs="Arial"/>
                <w:sz w:val="20"/>
                <w:szCs w:val="20"/>
              </w:rPr>
              <w:t>5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4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</w:tr>
      <w:tr w:rsidR="00554EE6" w:rsidRPr="00C82E2E">
        <w:trPr>
          <w:cantSplit/>
          <w:trHeight w:val="417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État final (mol)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=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1,0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rFonts w:cs="Arial"/>
                <w:sz w:val="20"/>
                <w:szCs w:val="20"/>
              </w:rPr>
              <w:t>5</w:t>
            </w:r>
            <w:r w:rsidRPr="00C82E2E">
              <w:rPr>
                <w:b/>
                <w:sz w:val="20"/>
                <w:szCs w:val="20"/>
              </w:rPr>
              <w:t xml:space="preserve"> 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4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 xml:space="preserve">e- </w:t>
      </w:r>
      <w:r w:rsidRPr="00C82E2E">
        <w:rPr>
          <w:sz w:val="20"/>
          <w:szCs w:val="20"/>
        </w:rPr>
        <w:t>Réactif limitant et avancement maximal.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L’avancement maximal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 s’obtient en écrivant que les quantités de matière des réactifs restent positives ou nulles. 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Il permet de déterminer l’état final de la transformation.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En général, la réaction s’arrête lorsque l’un des réactifs a été totalement consommé. 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À l’état final, la quantité de matière du réactif limitant est nulle.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Il se peut que lorsque la réaction s’arrête, tous les réactifs soient entièrement consommés. 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 </w:t>
      </w:r>
      <w:r w:rsidRPr="00C82E2E">
        <w:rPr>
          <w:sz w:val="20"/>
          <w:szCs w:val="20"/>
        </w:rPr>
        <w:t>On dit qu’initialement, les réactifs étaient dans les proportions stœchiométriques.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Comment peut-on déterminer la valeur maximale de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 :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?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En fin de réaction, la quantité de matière de chaque réactif est soit positive, soit nulle.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En conséquence, on peut écrire deux inéquations :</w:t>
      </w:r>
    </w:p>
    <w:tbl>
      <w:tblPr>
        <w:tblW w:w="0" w:type="auto"/>
        <w:jc w:val="center"/>
        <w:tblInd w:w="3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99CCFF"/>
        <w:tblLook w:val="00BF"/>
      </w:tblPr>
      <w:tblGrid>
        <w:gridCol w:w="1659"/>
        <w:gridCol w:w="992"/>
        <w:gridCol w:w="2175"/>
        <w:gridCol w:w="1095"/>
        <w:gridCol w:w="1975"/>
      </w:tblGrid>
      <w:tr w:rsidR="00554EE6" w:rsidRPr="00C82E2E">
        <w:trPr>
          <w:jc w:val="center"/>
        </w:trPr>
        <w:tc>
          <w:tcPr>
            <w:tcW w:w="165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 xml:space="preserve">  1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b/>
                <w:sz w:val="20"/>
                <w:szCs w:val="20"/>
              </w:rPr>
              <w:t xml:space="preserve">x   ≥  </w:t>
            </w:r>
            <w:r w:rsidRPr="00C82E2E">
              <w:rPr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ascii="Arial" w:hAnsi="Arial" w:cs="Arial"/>
                <w:b/>
                <w:sz w:val="20"/>
                <w:szCs w:val="20"/>
              </w:rPr>
              <w:sym w:font="MT Symbol" w:char="00DE"/>
            </w:r>
            <w:r w:rsidRPr="00C82E2E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1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C82E2E">
              <w:rPr>
                <w:b/>
                <w:sz w:val="20"/>
                <w:szCs w:val="20"/>
              </w:rPr>
              <w:t xml:space="preserve">≥  x   ≥ </w:t>
            </w:r>
            <w:r w:rsidRPr="00C82E2E">
              <w:rPr>
                <w:sz w:val="20"/>
                <w:szCs w:val="20"/>
              </w:rPr>
              <w:t>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ascii="Arial" w:hAnsi="Arial" w:cs="Arial"/>
                <w:b/>
                <w:sz w:val="20"/>
                <w:szCs w:val="20"/>
              </w:rPr>
              <w:sym w:font="MT Symbol" w:char="00DE"/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</w:tr>
      <w:tr w:rsidR="00554EE6" w:rsidRPr="00C82E2E">
        <w:trPr>
          <w:jc w:val="center"/>
        </w:trPr>
        <w:tc>
          <w:tcPr>
            <w:tcW w:w="165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 xml:space="preserve">        </w:t>
            </w:r>
            <w:r w:rsidRPr="00C82E2E">
              <w:rPr>
                <w:b/>
                <w:sz w:val="20"/>
                <w:szCs w:val="20"/>
              </w:rPr>
              <w:t xml:space="preserve">x  </w:t>
            </w:r>
            <w:r w:rsidRPr="00C82E2E">
              <w:rPr>
                <w:sz w:val="20"/>
                <w:szCs w:val="20"/>
              </w:rPr>
              <w:t>≥  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 xml:space="preserve">0,6  </w:t>
            </w:r>
            <w:r w:rsidRPr="00C82E2E">
              <w:rPr>
                <w:b/>
                <w:sz w:val="20"/>
                <w:szCs w:val="20"/>
              </w:rPr>
              <w:t xml:space="preserve">≥  x   ≥ </w:t>
            </w:r>
            <w:r w:rsidRPr="00C82E2E">
              <w:rPr>
                <w:sz w:val="20"/>
                <w:szCs w:val="20"/>
              </w:rPr>
              <w:t xml:space="preserve">0 </w:t>
            </w:r>
          </w:p>
        </w:tc>
      </w:tr>
      <w:tr w:rsidR="00554EE6" w:rsidRPr="00C82E2E">
        <w:trPr>
          <w:jc w:val="center"/>
        </w:trPr>
        <w:tc>
          <w:tcPr>
            <w:tcW w:w="165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rFonts w:cs="Arial"/>
                <w:sz w:val="20"/>
                <w:szCs w:val="20"/>
              </w:rPr>
              <w:t>5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 </w:t>
            </w:r>
            <w:r w:rsidRPr="00C82E2E">
              <w:rPr>
                <w:b/>
                <w:sz w:val="20"/>
                <w:szCs w:val="20"/>
              </w:rPr>
              <w:t xml:space="preserve">≥  </w:t>
            </w:r>
            <w:r w:rsidRPr="00C82E2E">
              <w:rPr>
                <w:sz w:val="20"/>
                <w:szCs w:val="20"/>
              </w:rPr>
              <w:t xml:space="preserve">0  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≥ 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rFonts w:cs="Arial"/>
                <w:sz w:val="20"/>
                <w:szCs w:val="20"/>
              </w:rPr>
              <w:t>5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 </w:t>
            </w:r>
            <w:r w:rsidRPr="00C82E2E">
              <w:rPr>
                <w:b/>
                <w:sz w:val="20"/>
                <w:szCs w:val="20"/>
              </w:rPr>
              <w:t xml:space="preserve">≥ 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</w:rPr>
              <w:t xml:space="preserve">0  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</w:rPr>
              <w:t xml:space="preserve">  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</w:tr>
    </w:tbl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En conséquence, l’avancement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 peut varier entre 0 et 0,6 mol.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L’avancement maximal :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</w:rPr>
        <w:t>=</w:t>
      </w:r>
      <w:r w:rsidRPr="00C82E2E">
        <w:rPr>
          <w:sz w:val="20"/>
          <w:szCs w:val="20"/>
        </w:rPr>
        <w:t xml:space="preserve"> 0,6 mol.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Le réactif limitant est celui qui disparaît totalement c’est-à-dire celui dont la quantité de matière s’annule pour la plus faible valeur de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>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L’avancement est maximal lorsque le réactif limitant a totalement disparu :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</w:t>
      </w:r>
      <w:r w:rsidRPr="00C82E2E">
        <w:rPr>
          <w:rFonts w:cs="Arial"/>
          <w:sz w:val="20"/>
          <w:szCs w:val="20"/>
        </w:rPr>
        <w:t xml:space="preserve"> est la plus petite valeur de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sz w:val="20"/>
          <w:szCs w:val="20"/>
        </w:rPr>
        <w:t xml:space="preserve"> pour laquelle la quantité de matière de l’un des réactifs devient nulle. 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Lorsque la valeur de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 est connue, on peut déterminer les quantités de matière des différentes espèces chimiques dans l’état final du système. 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Il suffit pour cela de rajouter une ligne au tableau.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sz w:val="20"/>
          <w:szCs w:val="20"/>
        </w:rPr>
        <w:t> </w:t>
      </w:r>
    </w:p>
    <w:tbl>
      <w:tblPr>
        <w:tblW w:w="10147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1745"/>
        <w:gridCol w:w="1311"/>
        <w:gridCol w:w="1352"/>
        <w:gridCol w:w="752"/>
        <w:gridCol w:w="1137"/>
        <w:gridCol w:w="1741"/>
      </w:tblGrid>
      <w:tr w:rsidR="00554EE6" w:rsidRPr="00C82E2E">
        <w:trPr>
          <w:trHeight w:val="153"/>
          <w:jc w:val="center"/>
        </w:trPr>
        <w:tc>
          <w:tcPr>
            <w:tcW w:w="3853" w:type="dxa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>Équation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C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8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>+</w:t>
            </w:r>
            <w:r w:rsidRPr="00C82E2E">
              <w:rPr>
                <w:b/>
                <w:sz w:val="20"/>
                <w:szCs w:val="20"/>
              </w:rPr>
              <w:t xml:space="preserve">   5 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→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FFFF99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 CO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sz w:val="20"/>
                <w:szCs w:val="20"/>
                <w:vertAlign w:val="subscript"/>
              </w:rPr>
              <w:t>(g)</w:t>
            </w:r>
            <w:r w:rsidRPr="00C82E2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41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double" w:sz="6" w:space="0" w:color="0000FF"/>
            </w:tcBorders>
            <w:shd w:val="clear" w:color="auto" w:fill="FFFF99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  <w:r w:rsidRPr="00C82E2E">
              <w:rPr>
                <w:sz w:val="20"/>
                <w:szCs w:val="20"/>
              </w:rPr>
              <w:t>+</w:t>
            </w:r>
            <w:r w:rsidRPr="00C82E2E">
              <w:rPr>
                <w:b/>
                <w:sz w:val="20"/>
                <w:szCs w:val="20"/>
              </w:rPr>
              <w:t xml:space="preserve">  4 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O</w:t>
            </w:r>
            <w:r w:rsidRPr="00C82E2E">
              <w:rPr>
                <w:sz w:val="20"/>
                <w:szCs w:val="20"/>
                <w:vertAlign w:val="subscript"/>
              </w:rPr>
              <w:t xml:space="preserve"> (</w:t>
            </w:r>
            <w:r w:rsidRPr="00C82E2E">
              <w:rPr>
                <w:rFonts w:ascii="BERNARD" w:hAnsi="BERNARD"/>
                <w:sz w:val="20"/>
                <w:szCs w:val="20"/>
                <w:vertAlign w:val="subscript"/>
              </w:rPr>
              <w:t xml:space="preserve">l </w:t>
            </w:r>
            <w:r w:rsidRPr="00C82E2E">
              <w:rPr>
                <w:sz w:val="20"/>
                <w:szCs w:val="20"/>
                <w:vertAlign w:val="subscript"/>
              </w:rPr>
              <w:t>)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</w:tr>
      <w:tr w:rsidR="00554EE6" w:rsidRPr="00C82E2E">
        <w:trPr>
          <w:cantSplit/>
          <w:trHeight w:val="345"/>
          <w:jc w:val="center"/>
        </w:trPr>
        <w:tc>
          <w:tcPr>
            <w:tcW w:w="21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lastRenderedPageBreak/>
              <w:t xml:space="preserve">État u système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Avancement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752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554EE6" w:rsidRPr="00C82E2E">
        <w:trPr>
          <w:cantSplit/>
          <w:trHeight w:val="469"/>
          <w:jc w:val="center"/>
        </w:trPr>
        <w:tc>
          <w:tcPr>
            <w:tcW w:w="21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État initial (mol)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x = </w:t>
            </w:r>
            <w:r w:rsidRPr="00C82E2E">
              <w:rPr>
                <w:rFonts w:cs="Arial"/>
                <w:b/>
                <w:sz w:val="20"/>
                <w:szCs w:val="20"/>
              </w:rPr>
              <w:t>0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n</w:t>
            </w:r>
            <w:r w:rsidRPr="00C82E2E">
              <w:rPr>
                <w:rFonts w:cs="Arial"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1</w:t>
            </w:r>
            <w:r w:rsidRPr="00C82E2E">
              <w:rPr>
                <w:sz w:val="20"/>
                <w:szCs w:val="20"/>
              </w:rPr>
              <w:t xml:space="preserve"> = 1 mol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n</w:t>
            </w:r>
            <w:r w:rsidRPr="00C82E2E">
              <w:rPr>
                <w:rFonts w:cs="Arial"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= 3 mol </w:t>
            </w:r>
          </w:p>
        </w:tc>
        <w:tc>
          <w:tcPr>
            <w:tcW w:w="752" w:type="dxa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Cs/>
                <w:sz w:val="20"/>
                <w:szCs w:val="20"/>
              </w:rPr>
              <w:t>0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Cs/>
                <w:sz w:val="20"/>
                <w:szCs w:val="20"/>
              </w:rPr>
              <w:t>0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</w:tr>
      <w:tr w:rsidR="00554EE6" w:rsidRPr="00C82E2E">
        <w:trPr>
          <w:cantSplit/>
          <w:trHeight w:val="473"/>
          <w:jc w:val="center"/>
        </w:trPr>
        <w:tc>
          <w:tcPr>
            <w:tcW w:w="21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Au cours de la </w:t>
            </w:r>
          </w:p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transformation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1</w:t>
            </w:r>
            <w:r w:rsidRPr="00C82E2E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-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rFonts w:cs="Arial"/>
                <w:sz w:val="20"/>
                <w:szCs w:val="20"/>
              </w:rPr>
              <w:t>5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752" w:type="dxa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4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</w:tr>
      <w:tr w:rsidR="00554EE6" w:rsidRPr="00C82E2E">
        <w:trPr>
          <w:cantSplit/>
          <w:trHeight w:val="473"/>
          <w:jc w:val="center"/>
        </w:trPr>
        <w:tc>
          <w:tcPr>
            <w:tcW w:w="2109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État final (mol)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=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1</w:t>
            </w:r>
            <w:r w:rsidRPr="00C82E2E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3</w:t>
            </w:r>
            <w:r w:rsidRPr="00C82E2E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</w:t>
            </w:r>
            <w:r w:rsidRPr="00C82E2E">
              <w:rPr>
                <w:b/>
                <w:sz w:val="20"/>
                <w:szCs w:val="20"/>
              </w:rPr>
              <w:t xml:space="preserve"> </w:t>
            </w:r>
            <w:r w:rsidRPr="00C82E2E">
              <w:rPr>
                <w:rFonts w:cs="Arial"/>
                <w:sz w:val="20"/>
                <w:szCs w:val="20"/>
              </w:rPr>
              <w:t>5</w:t>
            </w:r>
            <w:r w:rsidRPr="00C82E2E">
              <w:rPr>
                <w:b/>
                <w:sz w:val="20"/>
                <w:szCs w:val="20"/>
              </w:rPr>
              <w:t xml:space="preserve"> 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3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 xml:space="preserve">4 </w:t>
            </w: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54EE6" w:rsidRPr="00C82E2E">
        <w:trPr>
          <w:cantSplit/>
          <w:trHeight w:val="473"/>
          <w:jc w:val="center"/>
        </w:trPr>
        <w:tc>
          <w:tcPr>
            <w:tcW w:w="2109" w:type="dxa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x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max</w:t>
            </w:r>
            <w:r w:rsidRPr="00C82E2E">
              <w:rPr>
                <w:sz w:val="20"/>
                <w:szCs w:val="20"/>
              </w:rPr>
              <w:t xml:space="preserve"> = </w:t>
            </w:r>
            <w:r w:rsidRPr="00C82E2E">
              <w:rPr>
                <w:rFonts w:cs="Arial"/>
                <w:sz w:val="20"/>
                <w:szCs w:val="20"/>
              </w:rPr>
              <w:t>0,6 mol</w:t>
            </w:r>
            <w:r w:rsidRPr="00C82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 xml:space="preserve">0,40 mol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0,0 mol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1,8 mol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CCFFFF"/>
            <w:vAlign w:val="center"/>
          </w:tcPr>
          <w:p w:rsidR="00554EE6" w:rsidRPr="00C82E2E" w:rsidRDefault="00554EE6" w:rsidP="00554EE6">
            <w:pPr>
              <w:jc w:val="center"/>
              <w:rPr>
                <w:sz w:val="20"/>
                <w:szCs w:val="20"/>
              </w:rPr>
            </w:pPr>
            <w:r w:rsidRPr="00C82E2E">
              <w:rPr>
                <w:rFonts w:cs="Arial"/>
                <w:sz w:val="20"/>
                <w:szCs w:val="20"/>
              </w:rPr>
              <w:t>2,4 mol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sz w:val="20"/>
          <w:szCs w:val="20"/>
        </w:rPr>
        <w:t> </w:t>
      </w:r>
      <w:r w:rsidRPr="00C82E2E">
        <w:rPr>
          <w:rFonts w:eastAsia="Arial" w:cs="Arial"/>
          <w:sz w:val="20"/>
          <w:szCs w:val="20"/>
        </w:rPr>
        <w:t>f-</w:t>
      </w:r>
      <w:r w:rsidRPr="00C82E2E">
        <w:rPr>
          <w:rFonts w:eastAsia="Arial"/>
          <w:sz w:val="20"/>
          <w:szCs w:val="20"/>
        </w:rPr>
        <w:t> </w:t>
      </w:r>
      <w:r w:rsidRPr="00C82E2E">
        <w:rPr>
          <w:sz w:val="20"/>
          <w:szCs w:val="20"/>
        </w:rPr>
        <w:t>État final du système :</w:t>
      </w:r>
    </w:p>
    <w:tbl>
      <w:tblPr>
        <w:tblW w:w="0" w:type="auto"/>
        <w:jc w:val="center"/>
        <w:tblInd w:w="17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99CCFF"/>
        <w:tblLook w:val="00BF"/>
      </w:tblPr>
      <w:tblGrid>
        <w:gridCol w:w="3760"/>
      </w:tblGrid>
      <w:tr w:rsidR="00554EE6" w:rsidRPr="00C82E2E">
        <w:trPr>
          <w:trHeight w:val="339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caps/>
                <w:sz w:val="20"/>
                <w:szCs w:val="20"/>
              </w:rPr>
              <w:t>é</w:t>
            </w:r>
            <w:r w:rsidRPr="00C82E2E">
              <w:rPr>
                <w:b/>
                <w:sz w:val="20"/>
                <w:szCs w:val="20"/>
              </w:rPr>
              <w:t xml:space="preserve">tat Final </w:t>
            </w:r>
          </w:p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jc w:val="center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(E.F) </w:t>
            </w:r>
          </w:p>
        </w:tc>
      </w:tr>
      <w:tr w:rsidR="00554EE6" w:rsidRPr="00C82E2E">
        <w:trPr>
          <w:trHeight w:val="339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p</w:t>
            </w:r>
            <w:r w:rsidRPr="00C82E2E">
              <w:rPr>
                <w:sz w:val="20"/>
                <w:szCs w:val="20"/>
              </w:rPr>
              <w:t xml:space="preserve"> = 1013 hPa</w:t>
            </w:r>
          </w:p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rPr>
                <w:sz w:val="20"/>
                <w:szCs w:val="20"/>
              </w:rPr>
            </w:pPr>
            <w:r w:rsidRPr="00C82E2E">
              <w:rPr>
                <w:rFonts w:ascii="Symbol" w:hAnsi="Symbol"/>
                <w:b/>
                <w:sz w:val="20"/>
                <w:szCs w:val="20"/>
              </w:rPr>
              <w:t></w:t>
            </w:r>
            <w:r w:rsidRPr="00C82E2E">
              <w:rPr>
                <w:sz w:val="20"/>
                <w:szCs w:val="20"/>
              </w:rPr>
              <w:t xml:space="preserve"> = 20 °C </w:t>
            </w:r>
          </w:p>
        </w:tc>
      </w:tr>
      <w:tr w:rsidR="00554EE6" w:rsidRPr="00C82E2E">
        <w:trPr>
          <w:trHeight w:val="339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f</w:t>
            </w:r>
            <w:r w:rsidRPr="00C82E2E">
              <w:rPr>
                <w:b/>
                <w:sz w:val="20"/>
                <w:szCs w:val="20"/>
              </w:rPr>
              <w:t xml:space="preserve"> (C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3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>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8</w:t>
            </w:r>
            <w:r w:rsidRPr="00C82E2E">
              <w:rPr>
                <w:b/>
                <w:sz w:val="20"/>
                <w:szCs w:val="20"/>
              </w:rPr>
              <w:t xml:space="preserve">) </w:t>
            </w:r>
            <w:r w:rsidRPr="00C82E2E">
              <w:rPr>
                <w:sz w:val="20"/>
                <w:szCs w:val="20"/>
              </w:rPr>
              <w:t xml:space="preserve"> = 0,40 mol</w:t>
            </w:r>
            <w:r w:rsidRPr="00C82E2E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554EE6" w:rsidRPr="00C82E2E">
        <w:trPr>
          <w:trHeight w:val="339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f</w:t>
            </w:r>
            <w:r w:rsidRPr="00C82E2E">
              <w:rPr>
                <w:b/>
                <w:sz w:val="20"/>
                <w:szCs w:val="20"/>
              </w:rPr>
              <w:t xml:space="preserve"> (O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) = </w:t>
            </w:r>
            <w:r w:rsidRPr="00C82E2E">
              <w:rPr>
                <w:sz w:val="20"/>
                <w:szCs w:val="20"/>
              </w:rPr>
              <w:t xml:space="preserve"> 0,0 mol</w:t>
            </w:r>
            <w:r w:rsidRPr="00C82E2E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554EE6" w:rsidRPr="00C82E2E">
        <w:trPr>
          <w:trHeight w:val="339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f</w:t>
            </w:r>
            <w:r w:rsidRPr="00C82E2E">
              <w:rPr>
                <w:b/>
                <w:sz w:val="20"/>
                <w:szCs w:val="20"/>
              </w:rPr>
              <w:t xml:space="preserve"> (CO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b/>
                <w:sz w:val="20"/>
                <w:szCs w:val="20"/>
              </w:rPr>
              <w:t xml:space="preserve">) = </w:t>
            </w:r>
            <w:r w:rsidRPr="00C82E2E">
              <w:rPr>
                <w:sz w:val="20"/>
                <w:szCs w:val="20"/>
              </w:rPr>
              <w:t>1,8 mol</w:t>
            </w:r>
          </w:p>
        </w:tc>
      </w:tr>
      <w:tr w:rsidR="00554EE6" w:rsidRPr="00C82E2E">
        <w:trPr>
          <w:trHeight w:val="339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Chars="200" w:left="480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 xml:space="preserve">n </w:t>
            </w:r>
            <w:r w:rsidRPr="00C82E2E">
              <w:rPr>
                <w:b/>
                <w:sz w:val="20"/>
                <w:szCs w:val="20"/>
                <w:vertAlign w:val="subscript"/>
              </w:rPr>
              <w:t>f</w:t>
            </w:r>
            <w:r w:rsidRPr="00C82E2E">
              <w:rPr>
                <w:b/>
                <w:sz w:val="20"/>
                <w:szCs w:val="20"/>
              </w:rPr>
              <w:t xml:space="preserve"> (H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O) = </w:t>
            </w:r>
            <w:r w:rsidRPr="00C82E2E">
              <w:rPr>
                <w:sz w:val="20"/>
                <w:szCs w:val="20"/>
              </w:rPr>
              <w:t>2,4 mol</w:t>
            </w:r>
          </w:p>
        </w:tc>
      </w:tr>
    </w:tbl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/>
          <w:sz w:val="20"/>
          <w:szCs w:val="20"/>
          <w:shd w:val="clear" w:color="auto" w:fill="CCFFFF"/>
        </w:rPr>
        <w:t xml:space="preserve">2- </w:t>
      </w:r>
      <w:r w:rsidRPr="00C82E2E">
        <w:rPr>
          <w:sz w:val="20"/>
          <w:szCs w:val="20"/>
          <w:shd w:val="clear" w:color="auto" w:fill="CCFFFF"/>
        </w:rPr>
        <w:t xml:space="preserve">Autre méthode pour la détermination de la valeur de </w:t>
      </w:r>
      <w:r w:rsidRPr="00C82E2E">
        <w:rPr>
          <w:rFonts w:cs="Arial"/>
          <w:b/>
          <w:bCs/>
          <w:sz w:val="20"/>
          <w:szCs w:val="20"/>
          <w:shd w:val="clear" w:color="auto" w:fill="CCFFFF"/>
        </w:rPr>
        <w:t>x</w:t>
      </w:r>
      <w:r w:rsidRPr="00C82E2E">
        <w:rPr>
          <w:b/>
          <w:bCs/>
          <w:sz w:val="20"/>
          <w:szCs w:val="20"/>
          <w:shd w:val="clear" w:color="auto" w:fill="CCFFFF"/>
        </w:rPr>
        <w:t xml:space="preserve"> </w:t>
      </w:r>
      <w:r w:rsidRPr="00C82E2E">
        <w:rPr>
          <w:rFonts w:cs="Arial"/>
          <w:b/>
          <w:bCs/>
          <w:sz w:val="20"/>
          <w:szCs w:val="20"/>
          <w:shd w:val="clear" w:color="auto" w:fill="CCFFFF"/>
          <w:vertAlign w:val="subscript"/>
        </w:rPr>
        <w:t>max</w:t>
      </w:r>
      <w:r w:rsidRPr="00C82E2E">
        <w:rPr>
          <w:sz w:val="20"/>
          <w:szCs w:val="20"/>
          <w:shd w:val="clear" w:color="auto" w:fill="CCFFFF"/>
        </w:rPr>
        <w:t>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>On peut déterminer</w:t>
      </w:r>
      <w:r w:rsidRPr="00C82E2E">
        <w:rPr>
          <w:b/>
          <w:bCs/>
          <w:sz w:val="20"/>
          <w:szCs w:val="20"/>
        </w:rPr>
        <w:t xml:space="preserve"> 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en traçant les droites représentant les variations des quantités de matière des réactifs en fonction de l’avancement </w:t>
      </w:r>
      <w:r w:rsidRPr="00C82E2E">
        <w:rPr>
          <w:b/>
          <w:bCs/>
          <w:sz w:val="20"/>
          <w:szCs w:val="20"/>
        </w:rPr>
        <w:t>x</w:t>
      </w:r>
      <w:r w:rsidRPr="00C82E2E">
        <w:rPr>
          <w:sz w:val="20"/>
          <w:szCs w:val="20"/>
        </w:rPr>
        <w:t xml:space="preserve"> de la réaction.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</w:t>
      </w:r>
      <w:r w:rsidRPr="00C82E2E">
        <w:rPr>
          <w:sz w:val="20"/>
          <w:szCs w:val="20"/>
        </w:rPr>
        <w:t>Dans le cas précédent :</w:t>
      </w:r>
    </w:p>
    <w:tbl>
      <w:tblPr>
        <w:tblW w:w="0" w:type="auto"/>
        <w:jc w:val="center"/>
        <w:tblInd w:w="3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99CCFF"/>
        <w:tblLook w:val="00BF"/>
      </w:tblPr>
      <w:tblGrid>
        <w:gridCol w:w="2957"/>
      </w:tblGrid>
      <w:tr w:rsidR="00554EE6" w:rsidRPr="00C82E2E">
        <w:trPr>
          <w:jc w:val="center"/>
        </w:trPr>
        <w:tc>
          <w:tcPr>
            <w:tcW w:w="295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/>
              <w:ind w:left="150"/>
              <w:jc w:val="both"/>
              <w:rPr>
                <w:sz w:val="20"/>
                <w:szCs w:val="20"/>
              </w:rPr>
            </w:pPr>
            <w:r w:rsidRPr="00C82E2E">
              <w:rPr>
                <w:b/>
                <w:sz w:val="20"/>
                <w:szCs w:val="20"/>
              </w:rPr>
              <w:t>n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</w:rPr>
              <w:t xml:space="preserve"> (C </w:t>
            </w:r>
            <w:r w:rsidRPr="00C82E2E">
              <w:rPr>
                <w:b/>
                <w:sz w:val="20"/>
                <w:szCs w:val="20"/>
                <w:vertAlign w:val="subscript"/>
              </w:rPr>
              <w:t>3</w:t>
            </w:r>
            <w:r w:rsidRPr="00C82E2E">
              <w:rPr>
                <w:b/>
                <w:sz w:val="20"/>
                <w:szCs w:val="20"/>
              </w:rPr>
              <w:t>H</w:t>
            </w:r>
            <w:r w:rsidRPr="00C82E2E">
              <w:rPr>
                <w:sz w:val="20"/>
                <w:szCs w:val="20"/>
              </w:rPr>
              <w:t xml:space="preserve"> </w:t>
            </w:r>
            <w:r w:rsidRPr="00C82E2E">
              <w:rPr>
                <w:b/>
                <w:sz w:val="20"/>
                <w:szCs w:val="20"/>
                <w:vertAlign w:val="subscript"/>
              </w:rPr>
              <w:t>8</w:t>
            </w:r>
            <w:r w:rsidRPr="00C82E2E">
              <w:rPr>
                <w:b/>
                <w:sz w:val="20"/>
                <w:szCs w:val="20"/>
              </w:rPr>
              <w:t xml:space="preserve">) </w:t>
            </w:r>
            <w:r w:rsidRPr="00C82E2E">
              <w:rPr>
                <w:sz w:val="20"/>
                <w:szCs w:val="20"/>
              </w:rPr>
              <w:t xml:space="preserve">  = </w:t>
            </w:r>
            <w:r w:rsidRPr="00C82E2E">
              <w:rPr>
                <w:rFonts w:cs="Arial"/>
                <w:sz w:val="20"/>
                <w:szCs w:val="20"/>
              </w:rPr>
              <w:t>1</w:t>
            </w:r>
            <w:r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C82E2E">
              <w:rPr>
                <w:b/>
                <w:sz w:val="20"/>
                <w:szCs w:val="20"/>
              </w:rPr>
              <w:t xml:space="preserve">x </w:t>
            </w:r>
            <w:r w:rsidRPr="00C82E2E">
              <w:rPr>
                <w:sz w:val="20"/>
                <w:szCs w:val="20"/>
              </w:rPr>
              <w:t xml:space="preserve">    </w:t>
            </w:r>
            <w:r w:rsidRPr="00C82E2E">
              <w:rPr>
                <w:caps/>
                <w:sz w:val="20"/>
                <w:szCs w:val="20"/>
              </w:rPr>
              <w:t xml:space="preserve"> </w:t>
            </w:r>
          </w:p>
        </w:tc>
      </w:tr>
      <w:tr w:rsidR="00554EE6" w:rsidRPr="00C82E2E">
        <w:trPr>
          <w:trHeight w:val="191"/>
          <w:jc w:val="center"/>
        </w:trPr>
        <w:tc>
          <w:tcPr>
            <w:tcW w:w="295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99CCFF"/>
            <w:vAlign w:val="center"/>
          </w:tcPr>
          <w:p w:rsidR="00554EE6" w:rsidRPr="00C82E2E" w:rsidRDefault="00554EE6" w:rsidP="00554EE6">
            <w:pPr>
              <w:pStyle w:val="NormalWeb"/>
              <w:spacing w:before="0" w:beforeAutospacing="0" w:after="0" w:afterAutospacing="0" w:line="191" w:lineRule="atLeast"/>
              <w:ind w:left="150"/>
              <w:jc w:val="both"/>
              <w:rPr>
                <w:sz w:val="20"/>
                <w:szCs w:val="20"/>
              </w:rPr>
            </w:pPr>
            <w:r w:rsidRPr="00C82E2E">
              <w:rPr>
                <w:rFonts w:cs="Arial"/>
                <w:b/>
                <w:sz w:val="20"/>
                <w:szCs w:val="20"/>
              </w:rPr>
              <w:t> </w:t>
            </w:r>
            <w:r w:rsidR="00C82E2E" w:rsidRPr="00C82E2E">
              <w:rPr>
                <w:b/>
                <w:sz w:val="20"/>
                <w:szCs w:val="20"/>
              </w:rPr>
              <w:t xml:space="preserve">n </w:t>
            </w:r>
            <w:r w:rsidR="00C82E2E" w:rsidRPr="00C82E2E">
              <w:rPr>
                <w:b/>
                <w:sz w:val="20"/>
                <w:szCs w:val="20"/>
                <w:vertAlign w:val="subscript"/>
              </w:rPr>
              <w:t>f</w:t>
            </w:r>
            <w:r w:rsidR="00C82E2E" w:rsidRPr="00C82E2E">
              <w:rPr>
                <w:b/>
                <w:sz w:val="20"/>
                <w:szCs w:val="20"/>
              </w:rPr>
              <w:t xml:space="preserve"> (O</w:t>
            </w:r>
            <w:r w:rsidR="00C82E2E" w:rsidRPr="00C82E2E">
              <w:rPr>
                <w:sz w:val="20"/>
                <w:szCs w:val="20"/>
              </w:rPr>
              <w:t xml:space="preserve"> </w:t>
            </w:r>
            <w:r w:rsidR="00C82E2E" w:rsidRPr="00C82E2E">
              <w:rPr>
                <w:b/>
                <w:sz w:val="20"/>
                <w:szCs w:val="20"/>
                <w:vertAlign w:val="subscript"/>
              </w:rPr>
              <w:t>2</w:t>
            </w:r>
            <w:r w:rsidR="00C82E2E" w:rsidRPr="00C82E2E">
              <w:rPr>
                <w:b/>
                <w:sz w:val="20"/>
                <w:szCs w:val="20"/>
              </w:rPr>
              <w:t xml:space="preserve">) = </w:t>
            </w:r>
            <w:r w:rsidR="00C82E2E" w:rsidRPr="00C82E2E">
              <w:rPr>
                <w:sz w:val="20"/>
                <w:szCs w:val="20"/>
              </w:rPr>
              <w:t xml:space="preserve"> </w:t>
            </w:r>
            <w:r w:rsidR="00C82E2E" w:rsidRPr="00C82E2E">
              <w:rPr>
                <w:rFonts w:cs="Arial"/>
                <w:sz w:val="20"/>
                <w:szCs w:val="20"/>
              </w:rPr>
              <w:t>3</w:t>
            </w:r>
            <w:r w:rsidR="00C82E2E" w:rsidRPr="00C82E2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C82E2E" w:rsidRPr="00C82E2E">
              <w:rPr>
                <w:rFonts w:cs="Arial"/>
                <w:sz w:val="20"/>
                <w:szCs w:val="20"/>
              </w:rPr>
              <w:t>5</w:t>
            </w:r>
            <w:r w:rsidR="00C82E2E" w:rsidRPr="00C82E2E">
              <w:rPr>
                <w:rFonts w:cs="Arial"/>
                <w:b/>
                <w:sz w:val="20"/>
                <w:szCs w:val="20"/>
              </w:rPr>
              <w:t xml:space="preserve"> x </w:t>
            </w:r>
            <w:r w:rsidR="00C82E2E" w:rsidRPr="00C82E2E">
              <w:rPr>
                <w:sz w:val="20"/>
                <w:szCs w:val="20"/>
              </w:rPr>
              <w:t xml:space="preserve">  </w:t>
            </w:r>
            <w:r w:rsidR="00C82E2E" w:rsidRPr="00C82E2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82E2E" w:rsidRPr="00C82E2E">
              <w:rPr>
                <w:sz w:val="20"/>
                <w:szCs w:val="20"/>
              </w:rPr>
              <w:t xml:space="preserve">   </w:t>
            </w:r>
          </w:p>
        </w:tc>
      </w:tr>
    </w:tbl>
    <w:p w:rsidR="00554EE6" w:rsidRPr="00C82E2E" w:rsidRDefault="00554EE6" w:rsidP="00C82E2E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 xml:space="preserve">Les deux droites coupent l’axe horizontal et </w:t>
      </w:r>
      <w:r w:rsidRPr="00C82E2E">
        <w:rPr>
          <w:b/>
          <w:bCs/>
          <w:sz w:val="20"/>
          <w:szCs w:val="20"/>
        </w:rPr>
        <w:t>x</w:t>
      </w:r>
      <w:r w:rsidRPr="00C82E2E">
        <w:rPr>
          <w:rFonts w:cs="Arial"/>
          <w:b/>
          <w:bCs/>
          <w:sz w:val="20"/>
          <w:szCs w:val="20"/>
        </w:rPr>
        <w:t xml:space="preserve"> </w:t>
      </w:r>
      <w:r w:rsidRPr="00C82E2E">
        <w:rPr>
          <w:b/>
          <w:bCs/>
          <w:sz w:val="20"/>
          <w:szCs w:val="20"/>
          <w:vertAlign w:val="subscript"/>
        </w:rPr>
        <w:t>max</w:t>
      </w:r>
      <w:r w:rsidRPr="00C82E2E">
        <w:rPr>
          <w:sz w:val="20"/>
          <w:szCs w:val="20"/>
        </w:rPr>
        <w:t xml:space="preserve">  est égal à la plus petite abscisse des deux points d’intersection.</w:t>
      </w:r>
    </w:p>
    <w:p w:rsidR="00554EE6" w:rsidRPr="00C82E2E" w:rsidRDefault="00554EE6" w:rsidP="00C82E2E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>   </w:t>
      </w:r>
      <w:r w:rsidRPr="00C82E2E">
        <w:rPr>
          <w:sz w:val="20"/>
          <w:szCs w:val="20"/>
        </w:rPr>
        <w:t>Graphe : on peut montrer l’évolution du système grâce à un tableur : ici Excel.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jc w:val="center"/>
        <w:rPr>
          <w:sz w:val="20"/>
          <w:szCs w:val="20"/>
        </w:rPr>
      </w:pPr>
      <w:r w:rsidRPr="00C82E2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65.5pt">
            <v:imagedata r:id="rId6" r:href="rId7"/>
          </v:shape>
        </w:pic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jc w:val="center"/>
        <w:rPr>
          <w:sz w:val="20"/>
          <w:szCs w:val="20"/>
        </w:rPr>
      </w:pPr>
      <w:r w:rsidRPr="00C82E2E">
        <w:rPr>
          <w:sz w:val="20"/>
          <w:szCs w:val="20"/>
        </w:rPr>
        <w:pict>
          <v:shape id="_x0000_i1026" type="#_x0000_t75" style="width:537.75pt;height:308.25pt">
            <v:imagedata r:id="rId8" r:href="rId9"/>
          </v:shape>
        </w:pic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/>
          <w:sz w:val="20"/>
          <w:szCs w:val="20"/>
          <w:shd w:val="clear" w:color="auto" w:fill="CCFFFF"/>
        </w:rPr>
        <w:t xml:space="preserve">3)- </w:t>
      </w:r>
      <w:r w:rsidRPr="00C82E2E">
        <w:rPr>
          <w:sz w:val="20"/>
          <w:szCs w:val="20"/>
          <w:shd w:val="clear" w:color="auto" w:fill="CCFFFF"/>
        </w:rPr>
        <w:t>Cas particulier : Le mélange stœchiométrique.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 xml:space="preserve">          </w:t>
      </w:r>
      <w:r w:rsidRPr="00C82E2E">
        <w:rPr>
          <w:sz w:val="20"/>
          <w:szCs w:val="20"/>
        </w:rPr>
        <w:t>Dans certains cas, à la fin de la réaction, tous les réactifs ont été entièrement consommés. On dit que dans l’état initial, les réactifs ont été introduits dans les proportions stœchiométriques : le mélange est stœchiométrique.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 xml:space="preserve">          </w:t>
      </w:r>
      <w:r w:rsidRPr="00C82E2E">
        <w:rPr>
          <w:sz w:val="20"/>
          <w:szCs w:val="20"/>
        </w:rPr>
        <w:t>Mélange stœchiométrique de propane et de dioxygène : on parle de mélange détonant.</w:t>
      </w:r>
    </w:p>
    <w:p w:rsidR="00554EE6" w:rsidRPr="00C82E2E" w:rsidRDefault="00554EE6" w:rsidP="00554EE6">
      <w:pPr>
        <w:pStyle w:val="NormalWeb"/>
        <w:spacing w:before="0" w:beforeAutospacing="0" w:after="0" w:afterAutospacing="0"/>
        <w:ind w:left="150"/>
        <w:rPr>
          <w:sz w:val="20"/>
          <w:szCs w:val="20"/>
        </w:rPr>
      </w:pPr>
      <w:r w:rsidRPr="00C82E2E">
        <w:rPr>
          <w:rFonts w:eastAsia="Arial" w:cs="Arial"/>
          <w:sz w:val="20"/>
          <w:szCs w:val="20"/>
        </w:rPr>
        <w:t>-</w:t>
      </w:r>
      <w:r w:rsidRPr="00C82E2E">
        <w:rPr>
          <w:rFonts w:eastAsia="Arial"/>
          <w:sz w:val="20"/>
          <w:szCs w:val="20"/>
        </w:rPr>
        <w:t xml:space="preserve">          </w:t>
      </w:r>
      <w:r w:rsidRPr="00C82E2E">
        <w:rPr>
          <w:sz w:val="20"/>
          <w:szCs w:val="20"/>
        </w:rPr>
        <w:t>Graphe :</w:t>
      </w:r>
    </w:p>
    <w:p w:rsidR="006008F9" w:rsidRPr="00C82E2E" w:rsidRDefault="00554EE6" w:rsidP="00554EE6">
      <w:pPr>
        <w:pStyle w:val="NormalWeb"/>
        <w:spacing w:before="0" w:beforeAutospacing="0" w:after="0" w:afterAutospacing="0"/>
        <w:ind w:left="150"/>
        <w:jc w:val="center"/>
        <w:rPr>
          <w:sz w:val="20"/>
          <w:szCs w:val="20"/>
        </w:rPr>
      </w:pPr>
      <w:r w:rsidRPr="00C82E2E">
        <w:rPr>
          <w:sz w:val="20"/>
          <w:szCs w:val="20"/>
        </w:rPr>
        <w:pict>
          <v:shape id="_x0000_i1027" type="#_x0000_t75" style="width:537.75pt;height:300pt">
            <v:imagedata r:id="rId10" r:href="rId11"/>
          </v:shape>
        </w:pict>
      </w:r>
    </w:p>
    <w:sectPr w:rsidR="006008F9" w:rsidRPr="00C82E2E" w:rsidSect="007573BC">
      <w:footerReference w:type="even" r:id="rId12"/>
      <w:footerReference w:type="default" r:id="rId13"/>
      <w:pgSz w:w="11907" w:h="1701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BC" w:rsidRDefault="00E536BC">
      <w:r>
        <w:separator/>
      </w:r>
    </w:p>
  </w:endnote>
  <w:endnote w:type="continuationSeparator" w:id="1">
    <w:p w:rsidR="00E536BC" w:rsidRDefault="00E5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T Symbol">
    <w:altName w:val="Symbo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A9" w:rsidRDefault="00AE3BA9" w:rsidP="00C82E2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A9" w:rsidRDefault="00AE3B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A9" w:rsidRDefault="00AE3BA9" w:rsidP="00C82E2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1E9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E3BA9" w:rsidRPr="007573BC" w:rsidRDefault="007573BC" w:rsidP="001E1E96">
    <w:pPr>
      <w:pStyle w:val="Pieddepage"/>
      <w:tabs>
        <w:tab w:val="clear" w:pos="4536"/>
        <w:tab w:val="clear" w:pos="9072"/>
        <w:tab w:val="left" w:pos="8505"/>
      </w:tabs>
      <w:rPr>
        <w:lang w:val="en-US"/>
      </w:rPr>
    </w:pPr>
    <w:r w:rsidRPr="001E1E96">
      <w:rPr>
        <w:highlight w:val="lightGray"/>
        <w:lang w:val="en-US"/>
      </w:rPr>
      <w:t>dataelouardi.com</w:t>
    </w:r>
    <w:r w:rsidRPr="001E1E96">
      <w:rPr>
        <w:highlight w:val="lightGray"/>
        <w:lang w:val="en-US"/>
      </w:rPr>
      <w:tab/>
      <w:t>Prof : EL 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BC" w:rsidRDefault="00E536BC">
      <w:r>
        <w:separator/>
      </w:r>
    </w:p>
  </w:footnote>
  <w:footnote w:type="continuationSeparator" w:id="1">
    <w:p w:rsidR="00E536BC" w:rsidRDefault="00E5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05DC6"/>
    <w:rsid w:val="00020748"/>
    <w:rsid w:val="000252CE"/>
    <w:rsid w:val="00072E9F"/>
    <w:rsid w:val="000910F5"/>
    <w:rsid w:val="000B04E7"/>
    <w:rsid w:val="000B09FA"/>
    <w:rsid w:val="000C199D"/>
    <w:rsid w:val="000F08CE"/>
    <w:rsid w:val="00111A42"/>
    <w:rsid w:val="001121DF"/>
    <w:rsid w:val="0013493D"/>
    <w:rsid w:val="00150745"/>
    <w:rsid w:val="001624F4"/>
    <w:rsid w:val="001709DC"/>
    <w:rsid w:val="00171BF8"/>
    <w:rsid w:val="00175CF4"/>
    <w:rsid w:val="00182A84"/>
    <w:rsid w:val="00193B76"/>
    <w:rsid w:val="001E1E96"/>
    <w:rsid w:val="0020251C"/>
    <w:rsid w:val="00223B89"/>
    <w:rsid w:val="00234012"/>
    <w:rsid w:val="002441DA"/>
    <w:rsid w:val="002B0C81"/>
    <w:rsid w:val="002B1B91"/>
    <w:rsid w:val="002E15A3"/>
    <w:rsid w:val="002E1EC9"/>
    <w:rsid w:val="002E4397"/>
    <w:rsid w:val="00301EF9"/>
    <w:rsid w:val="00312ADF"/>
    <w:rsid w:val="00314779"/>
    <w:rsid w:val="00323AE9"/>
    <w:rsid w:val="00345A35"/>
    <w:rsid w:val="00364C87"/>
    <w:rsid w:val="00387EF1"/>
    <w:rsid w:val="003965ED"/>
    <w:rsid w:val="003A0854"/>
    <w:rsid w:val="003A5200"/>
    <w:rsid w:val="003C6735"/>
    <w:rsid w:val="0040447A"/>
    <w:rsid w:val="004563B9"/>
    <w:rsid w:val="0046515B"/>
    <w:rsid w:val="00473C31"/>
    <w:rsid w:val="004919DA"/>
    <w:rsid w:val="004A70B1"/>
    <w:rsid w:val="004B1C13"/>
    <w:rsid w:val="004B5A06"/>
    <w:rsid w:val="004D170F"/>
    <w:rsid w:val="004E3588"/>
    <w:rsid w:val="004F3B61"/>
    <w:rsid w:val="004F6234"/>
    <w:rsid w:val="00517CAB"/>
    <w:rsid w:val="00554EE6"/>
    <w:rsid w:val="00566C6C"/>
    <w:rsid w:val="005672B0"/>
    <w:rsid w:val="005A76D7"/>
    <w:rsid w:val="006008F9"/>
    <w:rsid w:val="00653790"/>
    <w:rsid w:val="00656FA3"/>
    <w:rsid w:val="00660BDB"/>
    <w:rsid w:val="00676B4A"/>
    <w:rsid w:val="00677C2A"/>
    <w:rsid w:val="006C2964"/>
    <w:rsid w:val="006D06A1"/>
    <w:rsid w:val="006F0596"/>
    <w:rsid w:val="007068B4"/>
    <w:rsid w:val="0070694D"/>
    <w:rsid w:val="007201E2"/>
    <w:rsid w:val="00727F0B"/>
    <w:rsid w:val="0074706E"/>
    <w:rsid w:val="007573BC"/>
    <w:rsid w:val="00796835"/>
    <w:rsid w:val="007C1F1C"/>
    <w:rsid w:val="007C40E4"/>
    <w:rsid w:val="007D7533"/>
    <w:rsid w:val="007E5956"/>
    <w:rsid w:val="00815437"/>
    <w:rsid w:val="00822A97"/>
    <w:rsid w:val="008469B7"/>
    <w:rsid w:val="00883AEA"/>
    <w:rsid w:val="008B0182"/>
    <w:rsid w:val="008D6704"/>
    <w:rsid w:val="009030D8"/>
    <w:rsid w:val="009137BD"/>
    <w:rsid w:val="00915C27"/>
    <w:rsid w:val="00947F45"/>
    <w:rsid w:val="00963EE2"/>
    <w:rsid w:val="0099664B"/>
    <w:rsid w:val="009D2081"/>
    <w:rsid w:val="009D4923"/>
    <w:rsid w:val="009E5FF9"/>
    <w:rsid w:val="00A105B6"/>
    <w:rsid w:val="00A41F41"/>
    <w:rsid w:val="00A63DAA"/>
    <w:rsid w:val="00A86C92"/>
    <w:rsid w:val="00AB34CD"/>
    <w:rsid w:val="00AD7A1D"/>
    <w:rsid w:val="00AE3BA9"/>
    <w:rsid w:val="00B007A1"/>
    <w:rsid w:val="00B07574"/>
    <w:rsid w:val="00B13D62"/>
    <w:rsid w:val="00B52214"/>
    <w:rsid w:val="00B721C0"/>
    <w:rsid w:val="00B8025C"/>
    <w:rsid w:val="00B86EF7"/>
    <w:rsid w:val="00B92354"/>
    <w:rsid w:val="00BA44D7"/>
    <w:rsid w:val="00BC0098"/>
    <w:rsid w:val="00BC2A25"/>
    <w:rsid w:val="00BC715F"/>
    <w:rsid w:val="00BD5C07"/>
    <w:rsid w:val="00C05A13"/>
    <w:rsid w:val="00C0709A"/>
    <w:rsid w:val="00C13C91"/>
    <w:rsid w:val="00C47789"/>
    <w:rsid w:val="00C52F38"/>
    <w:rsid w:val="00C82B09"/>
    <w:rsid w:val="00C82E2E"/>
    <w:rsid w:val="00C83583"/>
    <w:rsid w:val="00C903E5"/>
    <w:rsid w:val="00C918BB"/>
    <w:rsid w:val="00C92412"/>
    <w:rsid w:val="00C9687E"/>
    <w:rsid w:val="00CA2070"/>
    <w:rsid w:val="00CC3178"/>
    <w:rsid w:val="00CE1C67"/>
    <w:rsid w:val="00CE421B"/>
    <w:rsid w:val="00CE4A3B"/>
    <w:rsid w:val="00D226A1"/>
    <w:rsid w:val="00D23DAA"/>
    <w:rsid w:val="00D258E3"/>
    <w:rsid w:val="00D3194A"/>
    <w:rsid w:val="00D33D6D"/>
    <w:rsid w:val="00D56F8F"/>
    <w:rsid w:val="00D6318C"/>
    <w:rsid w:val="00D67602"/>
    <w:rsid w:val="00D72DE1"/>
    <w:rsid w:val="00D8100B"/>
    <w:rsid w:val="00D91D3F"/>
    <w:rsid w:val="00DB0CA3"/>
    <w:rsid w:val="00DB5105"/>
    <w:rsid w:val="00DE3755"/>
    <w:rsid w:val="00E536BC"/>
    <w:rsid w:val="00E542F4"/>
    <w:rsid w:val="00E90263"/>
    <w:rsid w:val="00ED0BF3"/>
    <w:rsid w:val="00ED49B9"/>
    <w:rsid w:val="00F07F25"/>
    <w:rsid w:val="00F13076"/>
    <w:rsid w:val="00F23BF2"/>
    <w:rsid w:val="00F25090"/>
    <w:rsid w:val="00F343D1"/>
    <w:rsid w:val="00F736B7"/>
    <w:rsid w:val="00FE5D7E"/>
    <w:rsid w:val="00F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554EE6"/>
    <w:pPr>
      <w:spacing w:before="100" w:beforeAutospacing="1" w:after="100" w:afterAutospacing="1"/>
    </w:pPr>
  </w:style>
  <w:style w:type="paragraph" w:styleId="Pieddepage">
    <w:name w:val="footer"/>
    <w:basedOn w:val="Normal"/>
    <w:rsid w:val="00C82E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82E2E"/>
  </w:style>
  <w:style w:type="paragraph" w:styleId="En-tte">
    <w:name w:val="header"/>
    <w:basedOn w:val="Normal"/>
    <w:link w:val="En-tteCar"/>
    <w:uiPriority w:val="99"/>
    <w:unhideWhenUsed/>
    <w:rsid w:val="007573B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7573B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D:\ENSIEGNEMENTSSS\ENSIEGNEMENTS\&#1575;&#1604;&#1575;&#1608;&#1604;&#1609;%20&#1576;&#1575;&#1603;%20&#1593;&#1604;&#1608;&#1605;%20&#1578;&#1580;&#1585;&#1610;&#1576;&#1610;&#1577;\&#1575;&#1604;&#1603;&#1610;&#1605;&#1610;&#1575;&#1569;\&#1575;&#1604;&#1580;&#1586;&#1569;%20&#1575;&#1604;&#1571;&#1608;&#1604;%20%20&#1575;&#1604;&#1602;&#1610;&#1575;&#1587;%20&#1601;&#1610;%20&#1575;&#1604;&#1603;&#1610;&#1605;&#1610;&#1575;&#1569;\&#1578;&#1578;&#1576;&#1593;%20&#1578;&#1581;&#1608;&#1604;%20&#1603;&#1610;&#1605;&#1610;&#1575;&#1574;&#1610;\COUR\Nouvelle%20page%201140_fichiers\1s03ch_fichiers\1s03ch2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D:\ENSIEGNEMENTSSS\ENSIEGNEMENTS\&#1575;&#1604;&#1575;&#1608;&#1604;&#1609;%20&#1576;&#1575;&#1603;%20&#1593;&#1604;&#1608;&#1605;%20&#1578;&#1580;&#1585;&#1610;&#1576;&#1610;&#1577;\&#1575;&#1604;&#1603;&#1610;&#1605;&#1610;&#1575;&#1569;\&#1575;&#1604;&#1580;&#1586;&#1569;%20&#1575;&#1604;&#1571;&#1608;&#1604;%20%20&#1575;&#1604;&#1602;&#1610;&#1575;&#1587;%20&#1601;&#1610;%20&#1575;&#1604;&#1603;&#1610;&#1605;&#1610;&#1575;&#1569;\&#1578;&#1578;&#1576;&#1593;%20&#1578;&#1581;&#1608;&#1604;%20&#1603;&#1610;&#1605;&#1610;&#1575;&#1574;&#1610;\COUR\Nouvelle%20page%201140_fichiers\1s03ch_fichiers\1s03ch4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D:\ENSIEGNEMENTSSS\ENSIEGNEMENTS\&#1575;&#1604;&#1575;&#1608;&#1604;&#1609;%20&#1576;&#1575;&#1603;%20&#1593;&#1604;&#1608;&#1605;%20&#1578;&#1580;&#1585;&#1610;&#1576;&#1610;&#1577;\&#1575;&#1604;&#1603;&#1610;&#1605;&#1610;&#1575;&#1569;\&#1575;&#1604;&#1580;&#1586;&#1569;%20&#1575;&#1604;&#1571;&#1608;&#1604;%20%20&#1575;&#1604;&#1602;&#1610;&#1575;&#1587;%20&#1601;&#1610;%20&#1575;&#1604;&#1603;&#1610;&#1605;&#1610;&#1575;&#1569;\&#1578;&#1578;&#1576;&#1593;%20&#1578;&#1581;&#1608;&#1604;%20&#1603;&#1610;&#1605;&#1610;&#1575;&#1574;&#1610;\COUR\Nouvelle%20page%201140_fichiers\1s03ch_fichiers\1s03ch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Évolution des quantités de matière au cours d’une transformation chimique</vt:lpstr>
    </vt:vector>
  </TitlesOfParts>
  <Company>UCD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Évolution des quantités de matière au cours d’une transformation chimique</dc:title>
  <dc:creator>dataelouardi</dc:creator>
  <cp:lastModifiedBy>solaymane</cp:lastModifiedBy>
  <cp:revision>2</cp:revision>
  <dcterms:created xsi:type="dcterms:W3CDTF">2019-09-15T10:21:00Z</dcterms:created>
  <dcterms:modified xsi:type="dcterms:W3CDTF">2019-09-15T10:21:00Z</dcterms:modified>
</cp:coreProperties>
</file>