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6E" w:rsidRPr="005B754D" w:rsidRDefault="004954D8" w:rsidP="005B754D">
      <w:pPr>
        <w:spacing w:line="276" w:lineRule="auto"/>
        <w:jc w:val="center"/>
        <w:rPr>
          <w:b/>
          <w:color w:val="FF0000"/>
          <w:sz w:val="32"/>
          <w:szCs w:val="32"/>
        </w:rPr>
      </w:pPr>
      <w:bookmarkStart w:id="0" w:name="_GoBack"/>
      <w:r w:rsidRPr="005B754D">
        <w:rPr>
          <w:b/>
          <w:color w:val="FF0000"/>
          <w:sz w:val="32"/>
          <w:szCs w:val="32"/>
        </w:rPr>
        <w:t>Energie potentielle électrostatique</w:t>
      </w:r>
      <w:r w:rsidR="00AA2E6E" w:rsidRPr="005B754D">
        <w:rPr>
          <w:b/>
          <w:bCs/>
          <w:color w:val="FF0000"/>
          <w:sz w:val="37"/>
          <w:szCs w:val="37"/>
        </w:rPr>
        <w:t>-Potentiel</w:t>
      </w:r>
      <w:r w:rsidR="005B754D" w:rsidRPr="005B754D">
        <w:rPr>
          <w:b/>
          <w:bCs/>
          <w:color w:val="FF0000"/>
          <w:sz w:val="37"/>
          <w:szCs w:val="37"/>
        </w:rPr>
        <w:t xml:space="preserve"> </w:t>
      </w:r>
      <w:r w:rsidR="00AA2E6E" w:rsidRPr="005B754D">
        <w:rPr>
          <w:b/>
          <w:bCs/>
          <w:color w:val="FF0000"/>
          <w:sz w:val="37"/>
          <w:szCs w:val="37"/>
        </w:rPr>
        <w:t>électrique</w:t>
      </w:r>
    </w:p>
    <w:bookmarkEnd w:id="0"/>
    <w:p w:rsidR="004954D8" w:rsidRDefault="004954D8" w:rsidP="004954D8">
      <w:pPr>
        <w:spacing w:line="276" w:lineRule="auto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Situation déclenchante</w:t>
      </w:r>
    </w:p>
    <w:p w:rsidR="004954D8" w:rsidRDefault="004954D8" w:rsidP="004954D8">
      <w:pPr>
        <w:rPr>
          <w:b/>
          <w:bCs/>
          <w:color w:val="FF0000"/>
          <w:sz w:val="28"/>
          <w:szCs w:val="28"/>
        </w:rPr>
      </w:pPr>
    </w:p>
    <w:p w:rsidR="004954D8" w:rsidRPr="008E7109" w:rsidRDefault="004954D8" w:rsidP="004954D8">
      <w:pPr>
        <w:rPr>
          <w:b/>
          <w:bCs/>
          <w:color w:val="FF0000"/>
          <w:sz w:val="28"/>
          <w:szCs w:val="28"/>
        </w:rPr>
      </w:pPr>
      <w:r w:rsidRPr="008E7109">
        <w:rPr>
          <w:b/>
          <w:bCs/>
          <w:color w:val="FF0000"/>
          <w:sz w:val="28"/>
          <w:szCs w:val="28"/>
        </w:rPr>
        <w:t>Bilan :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FF0000"/>
        </w:rPr>
      </w:pPr>
      <w:r w:rsidRPr="008E4A3D">
        <w:rPr>
          <w:b/>
          <w:bCs/>
          <w:color w:val="FF0000"/>
        </w:rPr>
        <w:t>I. Travail de la force électrique dans un champ uniforme</w:t>
      </w:r>
    </w:p>
    <w:p w:rsidR="008E4A3D" w:rsidRPr="008E4A3D" w:rsidRDefault="00541416" w:rsidP="008E4A3D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158750</wp:posOffset>
            </wp:positionV>
            <wp:extent cx="2331720" cy="1842770"/>
            <wp:effectExtent l="0" t="0" r="0" b="5080"/>
            <wp:wrapThrough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hrough>
            <wp:docPr id="2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3D" w:rsidRPr="008E4A3D">
        <w:t xml:space="preserve">Un pendule électrostatique de charge q positive est placé entre deux plaques parallélépipédiques P et N. Par application d’une tension électrique entre deux plaques, un champ électrique uniforme </w:t>
      </w:r>
      <w:r w:rsidR="008E4A3D" w:rsidRPr="008E4A3D">
        <w:rPr>
          <w:color w:val="000000"/>
          <w:position w:val="-4"/>
        </w:rPr>
        <w:object w:dxaOrig="240" w:dyaOrig="320">
          <v:shape id="_x0000_i1025" type="#_x0000_t75" style="width:12.5pt;height:17.55pt" o:ole="">
            <v:imagedata r:id="rId9" o:title=""/>
          </v:shape>
          <o:OLEObject Type="Embed" ProgID="Equation.DSMT4" ShapeID="_x0000_i1025" DrawAspect="Content" ObjectID="_1629686415" r:id="rId10"/>
        </w:object>
      </w:r>
      <w:r w:rsidR="008E4A3D" w:rsidRPr="008E4A3D">
        <w:t xml:space="preserve"> se crée et la charge q se trouve soumise à une force électrique </w:t>
      </w:r>
      <w:r w:rsidR="008E4A3D" w:rsidRPr="008E4A3D">
        <w:rPr>
          <w:color w:val="000000"/>
          <w:position w:val="-10"/>
        </w:rPr>
        <w:object w:dxaOrig="920" w:dyaOrig="380">
          <v:shape id="_x0000_i1026" type="#_x0000_t75" style="width:48.85pt;height:20.65pt" o:ole="">
            <v:imagedata r:id="rId11" o:title=""/>
          </v:shape>
          <o:OLEObject Type="Embed" ProgID="Equation.DSMT4" ShapeID="_x0000_i1026" DrawAspect="Content" ObjectID="_1629686416" r:id="rId12"/>
        </w:object>
      </w:r>
      <w:r w:rsidR="008E4A3D" w:rsidRPr="008E4A3D">
        <w:t xml:space="preserve"> ce qui la déplace d’un point A vers un point B (voir figure).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 xml:space="preserve">La force </w:t>
      </w:r>
      <w:r w:rsidRPr="008E4A3D">
        <w:rPr>
          <w:position w:val="-4"/>
        </w:rPr>
        <w:object w:dxaOrig="260" w:dyaOrig="320">
          <v:shape id="_x0000_i1027" type="#_x0000_t75" style="width:13.15pt;height:16.3pt" o:ole="">
            <v:imagedata r:id="rId13" o:title=""/>
          </v:shape>
          <o:OLEObject Type="Embed" ProgID="Equation.DSMT4" ShapeID="_x0000_i1027" DrawAspect="Content" ObjectID="_1629686417" r:id="rId14"/>
        </w:object>
      </w:r>
      <w:r w:rsidRPr="008E4A3D">
        <w:t xml:space="preserve"> étant constante, vu que </w:t>
      </w:r>
      <w:r w:rsidRPr="008E4A3D">
        <w:rPr>
          <w:position w:val="-4"/>
        </w:rPr>
        <w:object w:dxaOrig="240" w:dyaOrig="320">
          <v:shape id="_x0000_i1028" type="#_x0000_t75" style="width:11.9pt;height:16.3pt" o:ole="">
            <v:imagedata r:id="rId15" o:title=""/>
          </v:shape>
          <o:OLEObject Type="Embed" ProgID="Equation.DSMT4" ShapeID="_x0000_i1028" DrawAspect="Content" ObjectID="_1629686418" r:id="rId16"/>
        </w:object>
      </w:r>
      <w:r w:rsidRPr="008E4A3D">
        <w:t xml:space="preserve"> est constant.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 xml:space="preserve">Le travail de la force </w:t>
      </w:r>
      <w:r w:rsidRPr="008E4A3D">
        <w:rPr>
          <w:position w:val="-4"/>
        </w:rPr>
        <w:object w:dxaOrig="260" w:dyaOrig="320">
          <v:shape id="_x0000_i1029" type="#_x0000_t75" style="width:13.15pt;height:16.3pt" o:ole="">
            <v:imagedata r:id="rId13" o:title=""/>
          </v:shape>
          <o:OLEObject Type="Embed" ProgID="Equation.DSMT4" ShapeID="_x0000_i1029" DrawAspect="Content" ObjectID="_1629686419" r:id="rId17"/>
        </w:object>
      </w:r>
      <w:r w:rsidRPr="008E4A3D">
        <w:t xml:space="preserve"> au cours de déplacement de A vers B est :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</w:rPr>
      </w:pPr>
    </w:p>
    <w:p w:rsidR="008E4A3D" w:rsidRPr="008E4A3D" w:rsidRDefault="008E4A3D" w:rsidP="008E4A3D">
      <w:r w:rsidRPr="008E4A3D">
        <w:t xml:space="preserve">Les composantes des vecteurs </w:t>
      </w:r>
      <w:r w:rsidRPr="008E4A3D">
        <w:object w:dxaOrig="240" w:dyaOrig="320">
          <v:shape id="_x0000_i1030" type="#_x0000_t75" style="width:12.5pt;height:17.55pt" o:ole="">
            <v:imagedata r:id="rId9" o:title=""/>
          </v:shape>
          <o:OLEObject Type="Embed" ProgID="Equation.DSMT4" ShapeID="_x0000_i1030" DrawAspect="Content" ObjectID="_1629686420" r:id="rId18"/>
        </w:object>
      </w:r>
      <w:r w:rsidRPr="008E4A3D">
        <w:t xml:space="preserve"> et </w:t>
      </w:r>
      <w:r w:rsidRPr="008E4A3D">
        <w:object w:dxaOrig="400" w:dyaOrig="320">
          <v:shape id="_x0000_i1031" type="#_x0000_t75" style="width:21.3pt;height:17.55pt" o:ole="">
            <v:imagedata r:id="rId19" o:title=""/>
          </v:shape>
          <o:OLEObject Type="Embed" ProgID="Equation.DSMT4" ShapeID="_x0000_i1031" DrawAspect="Content" ObjectID="_1629686421" r:id="rId20"/>
        </w:object>
      </w:r>
      <w:r w:rsidRPr="008E4A3D">
        <w:t xml:space="preserve"> dans le repère orthonormé </w:t>
      </w:r>
      <w:r w:rsidRPr="008E4A3D">
        <w:rPr>
          <w:position w:val="-10"/>
        </w:rPr>
        <w:object w:dxaOrig="999" w:dyaOrig="380">
          <v:shape id="_x0000_i1032" type="#_x0000_t75" style="width:51.95pt;height:20.65pt" o:ole="">
            <v:imagedata r:id="rId21" o:title=""/>
          </v:shape>
          <o:OLEObject Type="Embed" ProgID="Equation.DSMT4" ShapeID="_x0000_i1032" DrawAspect="Content" ObjectID="_1629686422" r:id="rId22"/>
        </w:object>
      </w:r>
      <w:r w:rsidRPr="008E4A3D">
        <w:t xml:space="preserve"> sont :</w:t>
      </w:r>
    </w:p>
    <w:p w:rsidR="008E4A3D" w:rsidRPr="008E4A3D" w:rsidRDefault="008E4A3D" w:rsidP="008E4A3D">
      <w:r w:rsidRPr="008E4A3D">
        <w:rPr>
          <w:position w:val="-10"/>
        </w:rPr>
        <w:object w:dxaOrig="1020" w:dyaOrig="380">
          <v:shape id="_x0000_i1033" type="#_x0000_t75" style="width:53.2pt;height:20.65pt" o:ole="">
            <v:imagedata r:id="rId23" o:title=""/>
          </v:shape>
          <o:OLEObject Type="Embed" ProgID="Equation.DSMT4" ShapeID="_x0000_i1033" DrawAspect="Content" ObjectID="_1629686423" r:id="rId24"/>
        </w:object>
      </w:r>
      <w:r w:rsidRPr="008E4A3D">
        <w:tab/>
      </w:r>
      <w:r w:rsidRPr="008E4A3D">
        <w:tab/>
        <w:t xml:space="preserve">donc </w:t>
      </w:r>
      <w:r w:rsidRPr="008E4A3D">
        <w:tab/>
      </w:r>
      <w:r w:rsidRPr="008E4A3D">
        <w:tab/>
      </w:r>
      <w:r w:rsidRPr="008E4A3D">
        <w:rPr>
          <w:position w:val="-32"/>
        </w:rPr>
        <w:object w:dxaOrig="1440" w:dyaOrig="760">
          <v:shape id="_x0000_i1034" type="#_x0000_t75" style="width:75.75pt;height:41.3pt" o:ole="">
            <v:imagedata r:id="rId25" o:title=""/>
          </v:shape>
          <o:OLEObject Type="Embed" ProgID="Equation.DSMT4" ShapeID="_x0000_i1034" DrawAspect="Content" ObjectID="_1629686424" r:id="rId26"/>
        </w:object>
      </w:r>
    </w:p>
    <w:p w:rsidR="008E4A3D" w:rsidRPr="008E4A3D" w:rsidRDefault="008E4A3D" w:rsidP="008E4A3D">
      <w:r w:rsidRPr="008E4A3D">
        <w:rPr>
          <w:position w:val="-12"/>
        </w:rPr>
        <w:object w:dxaOrig="3260" w:dyaOrig="400">
          <v:shape id="_x0000_i1035" type="#_x0000_t75" style="width:157.15pt;height:21.9pt" o:ole="">
            <v:imagedata r:id="rId27" o:title=""/>
          </v:shape>
          <o:OLEObject Type="Embed" ProgID="Equation.DSMT4" ShapeID="_x0000_i1035" DrawAspect="Content" ObjectID="_1629686425" r:id="rId28"/>
        </w:object>
      </w:r>
      <w:r w:rsidRPr="008E4A3D">
        <w:tab/>
        <w:t>,</w:t>
      </w:r>
      <w:r w:rsidRPr="008E4A3D">
        <w:tab/>
        <w:t>donc</w:t>
      </w:r>
      <w:r w:rsidRPr="008E4A3D">
        <w:tab/>
      </w:r>
      <w:r w:rsidRPr="008E4A3D">
        <w:rPr>
          <w:position w:val="-32"/>
        </w:rPr>
        <w:object w:dxaOrig="1480" w:dyaOrig="760">
          <v:shape id="_x0000_i1036" type="#_x0000_t75" style="width:64.5pt;height:34.45pt" o:ole="">
            <v:imagedata r:id="rId29" o:title=""/>
          </v:shape>
          <o:OLEObject Type="Embed" ProgID="Equation.DSMT4" ShapeID="_x0000_i1036" DrawAspect="Content" ObjectID="_1629686426" r:id="rId30"/>
        </w:object>
      </w:r>
      <w:r w:rsidRPr="008E4A3D">
        <w:tab/>
        <w:t xml:space="preserve">et comme </w:t>
      </w:r>
      <w:r w:rsidRPr="008E4A3D">
        <w:rPr>
          <w:position w:val="-10"/>
        </w:rPr>
        <w:object w:dxaOrig="740" w:dyaOrig="380">
          <v:shape id="_x0000_i1037" type="#_x0000_t75" style="width:38.8pt;height:20.65pt" o:ole="">
            <v:imagedata r:id="rId31" o:title=""/>
          </v:shape>
          <o:OLEObject Type="Embed" ProgID="Equation.DSMT4" ShapeID="_x0000_i1037" DrawAspect="Content" ObjectID="_1629686427" r:id="rId32"/>
        </w:object>
      </w:r>
      <w:r w:rsidRPr="008E4A3D">
        <w:t xml:space="preserve">  et  </w:t>
      </w:r>
      <w:r w:rsidRPr="008E4A3D">
        <w:rPr>
          <w:position w:val="-10"/>
        </w:rPr>
        <w:object w:dxaOrig="639" w:dyaOrig="380">
          <v:shape id="_x0000_i1038" type="#_x0000_t75" style="width:33.8pt;height:20.65pt" o:ole="">
            <v:imagedata r:id="rId33" o:title=""/>
          </v:shape>
          <o:OLEObject Type="Embed" ProgID="Equation.DSMT4" ShapeID="_x0000_i1038" DrawAspect="Content" ObjectID="_1629686428" r:id="rId34"/>
        </w:object>
      </w:r>
    </w:p>
    <w:p w:rsidR="008E4A3D" w:rsidRPr="008E4A3D" w:rsidRDefault="00541416" w:rsidP="008E4A3D">
      <w:pPr>
        <w:autoSpaceDE w:val="0"/>
        <w:autoSpaceDN w:val="0"/>
        <w:adjustRightInd w:val="0"/>
        <w:ind w:firstLine="708"/>
        <w:jc w:val="center"/>
      </w:pPr>
      <w:r>
        <w:rPr>
          <w:noProof/>
        </w:rPr>
        <w:drawing>
          <wp:inline distT="0" distB="0" distL="0" distR="0">
            <wp:extent cx="2122805" cy="620395"/>
            <wp:effectExtent l="0" t="0" r="0" b="8255"/>
            <wp:docPr id="15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>Le travail de la force électrique appliqué à une charge dans un champ électrique uniforme est indépendant du chemin suivi ; il ne dépend que de l’état initial x</w:t>
      </w:r>
      <w:r w:rsidRPr="008E4A3D">
        <w:rPr>
          <w:vertAlign w:val="subscript"/>
        </w:rPr>
        <w:t>A</w:t>
      </w:r>
      <w:r w:rsidRPr="008E4A3D">
        <w:t xml:space="preserve"> et de l’état final x</w:t>
      </w:r>
      <w:r w:rsidRPr="008E4A3D">
        <w:rPr>
          <w:vertAlign w:val="subscript"/>
        </w:rPr>
        <w:t>B</w:t>
      </w:r>
      <w:r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  <w:rPr>
          <w:b/>
          <w:bCs/>
          <w:color w:val="FF0000"/>
        </w:rPr>
      </w:pPr>
      <w:r w:rsidRPr="008E4A3D">
        <w:rPr>
          <w:b/>
          <w:bCs/>
          <w:color w:val="FF0000"/>
        </w:rPr>
        <w:t>On dit que force électrique est conservative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</w:rPr>
      </w:pPr>
      <w:r w:rsidRPr="008E4A3D">
        <w:rPr>
          <w:b/>
          <w:bCs/>
        </w:rPr>
        <w:t>* Conclusion</w:t>
      </w:r>
    </w:p>
    <w:p w:rsidR="008E4A3D" w:rsidRPr="008E4A3D" w:rsidRDefault="00541416" w:rsidP="008E4A3D">
      <w:pPr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377190</wp:posOffset>
            </wp:positionV>
            <wp:extent cx="198374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365" y="21224"/>
                <wp:lineTo x="21365" y="0"/>
                <wp:lineTo x="0" y="0"/>
              </wp:wrapPolygon>
            </wp:wrapThrough>
            <wp:docPr id="3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3D" w:rsidRPr="008E4A3D">
        <w:t xml:space="preserve">L'expression mathématique du travail de la force électrique </w:t>
      </w:r>
      <w:r w:rsidR="008E4A3D" w:rsidRPr="008E4A3D">
        <w:rPr>
          <w:position w:val="-4"/>
        </w:rPr>
        <w:object w:dxaOrig="260" w:dyaOrig="320">
          <v:shape id="_x0000_i1039" type="#_x0000_t75" style="width:13.75pt;height:17.55pt" o:ole="">
            <v:imagedata r:id="rId37" o:title=""/>
          </v:shape>
          <o:OLEObject Type="Embed" ProgID="Equation.DSMT4" ShapeID="_x0000_i1039" DrawAspect="Content" ObjectID="_1629686429" r:id="rId38"/>
        </w:object>
      </w:r>
      <w:r w:rsidR="008E4A3D" w:rsidRPr="008E4A3D">
        <w:t xml:space="preserve"> s’exerçant sur une charge q quelconque dans un champ électrique uniforme </w:t>
      </w:r>
      <w:r w:rsidR="008E4A3D" w:rsidRPr="008E4A3D">
        <w:rPr>
          <w:position w:val="-4"/>
        </w:rPr>
        <w:object w:dxaOrig="240" w:dyaOrig="320">
          <v:shape id="_x0000_i1040" type="#_x0000_t75" style="width:12.5pt;height:17.55pt" o:ole="">
            <v:imagedata r:id="rId39" o:title=""/>
          </v:shape>
          <o:OLEObject Type="Embed" ProgID="Equation.DSMT4" ShapeID="_x0000_i1040" DrawAspect="Content" ObjectID="_1629686430" r:id="rId40"/>
        </w:object>
      </w:r>
      <w:r w:rsidR="008E4A3D" w:rsidRPr="008E4A3D">
        <w:t xml:space="preserve"> s’écrit :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</w:pPr>
      <w:r w:rsidRPr="008E4A3D">
        <w:rPr>
          <w:position w:val="-10"/>
        </w:rPr>
        <w:object w:dxaOrig="1660" w:dyaOrig="380">
          <v:shape id="_x0000_i1041" type="#_x0000_t75" style="width:88.3pt;height:20.65pt" o:ole="">
            <v:imagedata r:id="rId41" o:title=""/>
          </v:shape>
          <o:OLEObject Type="Embed" ProgID="Equation.DSMT4" ShapeID="_x0000_i1041" DrawAspect="Content" ObjectID="_1629686431" r:id="rId42"/>
        </w:object>
      </w:r>
    </w:p>
    <w:p w:rsidR="008E4A3D" w:rsidRPr="008E4A3D" w:rsidRDefault="008E4A3D" w:rsidP="008E4A3D">
      <w:pPr>
        <w:autoSpaceDE w:val="0"/>
        <w:autoSpaceDN w:val="0"/>
        <w:adjustRightInd w:val="0"/>
      </w:pPr>
      <w:r w:rsidRPr="008E4A3D">
        <w:t xml:space="preserve">où l’axe Ox est parallèle au champ électrique et dirigé dans le sens opposé au vecteur </w:t>
      </w:r>
      <w:r w:rsidRPr="008E4A3D">
        <w:rPr>
          <w:position w:val="-4"/>
        </w:rPr>
        <w:object w:dxaOrig="240" w:dyaOrig="320">
          <v:shape id="_x0000_i1042" type="#_x0000_t75" style="width:12.5pt;height:17.55pt" o:ole="">
            <v:imagedata r:id="rId39" o:title=""/>
          </v:shape>
          <o:OLEObject Type="Embed" ProgID="Equation.DSMT4" ShapeID="_x0000_i1042" DrawAspect="Content" ObjectID="_1629686432" r:id="rId43"/>
        </w:object>
      </w:r>
      <w:r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FF0000"/>
        </w:rPr>
      </w:pPr>
      <w:r w:rsidRPr="008E4A3D">
        <w:rPr>
          <w:b/>
          <w:bCs/>
          <w:color w:val="FF0000"/>
        </w:rPr>
        <w:t>II- Potentiel électrique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C00000"/>
        </w:rPr>
      </w:pPr>
      <w:r w:rsidRPr="008E4A3D">
        <w:rPr>
          <w:b/>
          <w:bCs/>
          <w:color w:val="C00000"/>
        </w:rPr>
        <w:t>1- Définition de la différence de potentiel (d.d.p)</w:t>
      </w:r>
    </w:p>
    <w:p w:rsidR="008E4A3D" w:rsidRPr="008E4A3D" w:rsidRDefault="00541416" w:rsidP="008E4A3D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400050</wp:posOffset>
            </wp:positionV>
            <wp:extent cx="1971675" cy="1637665"/>
            <wp:effectExtent l="0" t="0" r="9525" b="635"/>
            <wp:wrapThrough wrapText="bothSides">
              <wp:wrapPolygon edited="0">
                <wp:start x="0" y="0"/>
                <wp:lineTo x="0" y="21357"/>
                <wp:lineTo x="21496" y="21357"/>
                <wp:lineTo x="21496" y="0"/>
                <wp:lineTo x="0" y="0"/>
              </wp:wrapPolygon>
            </wp:wrapThrough>
            <wp:docPr id="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3D" w:rsidRPr="008E4A3D">
        <w:tab/>
        <w:t xml:space="preserve">La différence de potentielle (ou tension) entre deux points A et B d’une région où règne un champ électrique uniforme est égale au produit scalaire des vecteurs </w:t>
      </w:r>
      <w:r w:rsidR="008E4A3D" w:rsidRPr="008E4A3D">
        <w:rPr>
          <w:position w:val="-4"/>
        </w:rPr>
        <w:object w:dxaOrig="240" w:dyaOrig="320">
          <v:shape id="_x0000_i1043" type="#_x0000_t75" style="width:11.9pt;height:16.3pt" o:ole="">
            <v:imagedata r:id="rId45" o:title=""/>
          </v:shape>
          <o:OLEObject Type="Embed" ProgID="Equation.DSMT4" ShapeID="_x0000_i1043" DrawAspect="Content" ObjectID="_1629686433" r:id="rId46"/>
        </w:object>
      </w:r>
      <w:r w:rsidR="008E4A3D" w:rsidRPr="008E4A3D">
        <w:t xml:space="preserve"> et </w:t>
      </w:r>
      <w:r w:rsidR="008E4A3D" w:rsidRPr="008E4A3D">
        <w:rPr>
          <w:position w:val="-4"/>
        </w:rPr>
        <w:object w:dxaOrig="400" w:dyaOrig="320">
          <v:shape id="_x0000_i1044" type="#_x0000_t75" style="width:21.3pt;height:17.55pt" o:ole="">
            <v:imagedata r:id="rId47" o:title=""/>
          </v:shape>
          <o:OLEObject Type="Embed" ProgID="Equation.DSMT4" ShapeID="_x0000_i1044" DrawAspect="Content" ObjectID="_1629686434" r:id="rId48"/>
        </w:object>
      </w:r>
      <w:r w:rsidR="008E4A3D" w:rsidRPr="008E4A3D">
        <w:t>.</w:t>
      </w:r>
    </w:p>
    <w:p w:rsidR="008E4A3D" w:rsidRPr="008E4A3D" w:rsidRDefault="00541416" w:rsidP="008E4A3D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1820545" cy="532765"/>
            <wp:effectExtent l="0" t="0" r="8255" b="635"/>
            <wp:docPr id="2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C00000"/>
        </w:rPr>
      </w:pPr>
      <w:r w:rsidRPr="008E4A3D">
        <w:rPr>
          <w:b/>
          <w:bCs/>
          <w:color w:val="C00000"/>
        </w:rPr>
        <w:t>2- Le potentiel électrique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Il est possible de caractériser l’état électrique d’un point d’un circuit électrique ou région de l’espace où règne un champ électrique, par une gradeur physique V nommée potentiel électrique.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lastRenderedPageBreak/>
        <w:tab/>
        <w:t>Dans le cas d’un champ électrique uniforme de sens contraire à l’axe ox, et où O est choisi comme origine des potentiels, on arrive à la relation :</w:t>
      </w:r>
    </w:p>
    <w:p w:rsidR="008E4A3D" w:rsidRPr="008E4A3D" w:rsidRDefault="00541416" w:rsidP="008E4A3D">
      <w:pPr>
        <w:autoSpaceDE w:val="0"/>
        <w:autoSpaceDN w:val="0"/>
        <w:adjustRightInd w:val="0"/>
        <w:jc w:val="center"/>
        <w:rPr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>
            <wp:extent cx="1351915" cy="636270"/>
            <wp:effectExtent l="0" t="0" r="635" b="0"/>
            <wp:docPr id="2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3D" w:rsidRPr="008E4A3D" w:rsidRDefault="008E4A3D" w:rsidP="008E4A3D">
      <w:pPr>
        <w:autoSpaceDE w:val="0"/>
        <w:autoSpaceDN w:val="0"/>
        <w:adjustRightInd w:val="0"/>
      </w:pPr>
      <w:r w:rsidRPr="008E4A3D">
        <w:t>Le potentiel au point A est : V</w:t>
      </w:r>
      <w:r w:rsidRPr="008E4A3D">
        <w:rPr>
          <w:vertAlign w:val="subscript"/>
        </w:rPr>
        <w:t>A</w:t>
      </w:r>
      <w:r w:rsidRPr="008E4A3D">
        <w:t xml:space="preserve"> = E.x</w:t>
      </w:r>
      <w:r w:rsidRPr="008E4A3D">
        <w:rPr>
          <w:vertAlign w:val="subscript"/>
        </w:rPr>
        <w:t>A</w:t>
      </w:r>
      <w:r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</w:pPr>
      <w:r w:rsidRPr="008E4A3D">
        <w:t>Le potentiel au point B est : V</w:t>
      </w:r>
      <w:r w:rsidRPr="008E4A3D">
        <w:rPr>
          <w:vertAlign w:val="subscript"/>
        </w:rPr>
        <w:t>B</w:t>
      </w:r>
      <w:r w:rsidRPr="008E4A3D">
        <w:t xml:space="preserve"> = E.x</w:t>
      </w:r>
      <w:r w:rsidRPr="008E4A3D">
        <w:rPr>
          <w:vertAlign w:val="subscript"/>
        </w:rPr>
        <w:t>B</w:t>
      </w:r>
      <w:r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</w:pPr>
      <w:r w:rsidRPr="008E4A3D">
        <w:t>L’expression du travail de la force électrostatique :</w:t>
      </w:r>
    </w:p>
    <w:p w:rsidR="008E4A3D" w:rsidRPr="008E4A3D" w:rsidRDefault="00541416" w:rsidP="008E4A3D">
      <w:pPr>
        <w:autoSpaceDE w:val="0"/>
        <w:autoSpaceDN w:val="0"/>
        <w:adjustRightInd w:val="0"/>
        <w:jc w:val="center"/>
        <w:rPr>
          <w:b/>
          <w:bCs/>
          <w:color w:val="C00000"/>
        </w:rPr>
      </w:pPr>
      <w:r>
        <w:rPr>
          <w:noProof/>
        </w:rPr>
        <w:drawing>
          <wp:inline distT="0" distB="0" distL="0" distR="0">
            <wp:extent cx="1121410" cy="548640"/>
            <wp:effectExtent l="0" t="0" r="2540" b="3810"/>
            <wp:docPr id="2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A3D" w:rsidRPr="008E4A3D">
        <w:rPr>
          <w:position w:val="-14"/>
        </w:rPr>
        <w:object w:dxaOrig="5600" w:dyaOrig="420">
          <v:shape id="_x0000_i1045" type="#_x0000_t75" style="width:297.4pt;height:22.55pt" o:ole="">
            <v:imagedata r:id="rId52" o:title=""/>
          </v:shape>
          <o:OLEObject Type="Embed" ProgID="Equation.DSMT4" ShapeID="_x0000_i1045" DrawAspect="Content" ObjectID="_1629686435" r:id="rId53"/>
        </w:objec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  <w:rPr>
          <w:b/>
          <w:bCs/>
          <w:color w:val="C00000"/>
        </w:rPr>
      </w:pPr>
      <w:r w:rsidRPr="008E4A3D">
        <w:rPr>
          <w:position w:val="-14"/>
        </w:rPr>
        <w:object w:dxaOrig="1939" w:dyaOrig="420">
          <v:shape id="_x0000_i1046" type="#_x0000_t75" style="width:103.3pt;height:22.55pt" o:ole="">
            <v:imagedata r:id="rId54" o:title=""/>
          </v:shape>
          <o:OLEObject Type="Embed" ProgID="Equation.DSMT4" ShapeID="_x0000_i1046" DrawAspect="Content" ObjectID="_1629686436" r:id="rId55"/>
        </w:objec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Cette définition est valable pour un champ électrique quelconque (non uniforme).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  <w:color w:val="C00000"/>
        </w:rPr>
      </w:pPr>
      <w:r w:rsidRPr="008E4A3D">
        <w:rPr>
          <w:b/>
          <w:bCs/>
          <w:color w:val="C00000"/>
        </w:rPr>
        <w:t>3- Différence de potentiel électrique = tension électrique</w:t>
      </w:r>
    </w:p>
    <w:p w:rsidR="008E4A3D" w:rsidRPr="008E4A3D" w:rsidRDefault="008E4A3D" w:rsidP="008E4A3D">
      <w:pPr>
        <w:autoSpaceDE w:val="0"/>
        <w:autoSpaceDN w:val="0"/>
        <w:adjustRightInd w:val="0"/>
        <w:ind w:firstLine="454"/>
        <w:jc w:val="both"/>
      </w:pPr>
      <w:r w:rsidRPr="008E4A3D">
        <w:t>Lorsqu'une charge se déplace d'un point initial A de potentiel Vi = V</w:t>
      </w:r>
      <w:r w:rsidRPr="008E4A3D">
        <w:rPr>
          <w:vertAlign w:val="subscript"/>
        </w:rPr>
        <w:t>A</w:t>
      </w:r>
      <w:r w:rsidRPr="008E4A3D">
        <w:t xml:space="preserve"> vers un point final B de potentiel V</w:t>
      </w:r>
      <w:r w:rsidRPr="008E4A3D">
        <w:rPr>
          <w:vertAlign w:val="subscript"/>
        </w:rPr>
        <w:t>f</w:t>
      </w:r>
      <w:r w:rsidRPr="008E4A3D">
        <w:t xml:space="preserve"> = V</w:t>
      </w:r>
      <w:r w:rsidRPr="008E4A3D">
        <w:rPr>
          <w:vertAlign w:val="subscript"/>
        </w:rPr>
        <w:t>B</w:t>
      </w:r>
      <w:r w:rsidRPr="008E4A3D">
        <w:t xml:space="preserve">, alors la </w:t>
      </w:r>
      <w:r w:rsidRPr="008E4A3D">
        <w:rPr>
          <w:b/>
          <w:bCs/>
        </w:rPr>
        <w:t xml:space="preserve">différence de potentiel </w:t>
      </w:r>
      <w:r w:rsidRPr="008E4A3D">
        <w:t>entre le point final et le point initial est :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</w:pPr>
      <w:r w:rsidRPr="008E4A3D">
        <w:rPr>
          <w:rFonts w:eastAsia="SymbolMT"/>
        </w:rPr>
        <w:t>∆</w:t>
      </w:r>
      <w:r w:rsidRPr="008E4A3D">
        <w:t xml:space="preserve">V </w:t>
      </w:r>
      <w:r w:rsidRPr="008E4A3D">
        <w:rPr>
          <w:rFonts w:eastAsia="SymbolMT"/>
        </w:rPr>
        <w:t xml:space="preserve">= </w:t>
      </w:r>
      <w:r w:rsidRPr="008E4A3D">
        <w:t>V</w:t>
      </w:r>
      <w:r w:rsidRPr="008E4A3D">
        <w:rPr>
          <w:vertAlign w:val="subscript"/>
        </w:rPr>
        <w:t>f</w:t>
      </w:r>
      <w:r w:rsidRPr="008E4A3D">
        <w:t xml:space="preserve"> </w:t>
      </w:r>
      <w:r w:rsidRPr="008E4A3D">
        <w:rPr>
          <w:rFonts w:eastAsia="SymbolMT"/>
        </w:rPr>
        <w:t xml:space="preserve">- </w:t>
      </w:r>
      <w:r w:rsidRPr="008E4A3D">
        <w:t>V</w:t>
      </w:r>
      <w:r w:rsidRPr="008E4A3D">
        <w:rPr>
          <w:vertAlign w:val="subscript"/>
        </w:rPr>
        <w:t>i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 xml:space="preserve">Une différence de potentiel est encore appelée </w:t>
      </w:r>
      <w:r w:rsidRPr="008E4A3D">
        <w:rPr>
          <w:b/>
          <w:bCs/>
        </w:rPr>
        <w:t>tension électrique</w:t>
      </w:r>
      <w:r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  <w:rPr>
          <w:vertAlign w:val="subscript"/>
        </w:rPr>
      </w:pPr>
      <w:r w:rsidRPr="008E4A3D">
        <w:t xml:space="preserve">La </w:t>
      </w:r>
      <w:r w:rsidRPr="008E4A3D">
        <w:rPr>
          <w:b/>
          <w:bCs/>
        </w:rPr>
        <w:t xml:space="preserve">tension entre A et B </w:t>
      </w:r>
      <w:r w:rsidRPr="008E4A3D">
        <w:t>est notée : U</w:t>
      </w:r>
      <w:r w:rsidRPr="008E4A3D">
        <w:rPr>
          <w:vertAlign w:val="subscript"/>
        </w:rPr>
        <w:t>AB</w:t>
      </w:r>
      <w:r w:rsidRPr="008E4A3D">
        <w:t xml:space="preserve"> = V</w:t>
      </w:r>
      <w:r w:rsidRPr="008E4A3D">
        <w:rPr>
          <w:vertAlign w:val="subscript"/>
        </w:rPr>
        <w:t>A</w:t>
      </w:r>
      <w:r w:rsidRPr="008E4A3D">
        <w:t xml:space="preserve"> </w:t>
      </w:r>
      <w:r w:rsidRPr="008E4A3D">
        <w:rPr>
          <w:rFonts w:eastAsia="SymbolMT"/>
        </w:rPr>
        <w:t xml:space="preserve">– </w:t>
      </w:r>
      <w:r w:rsidRPr="008E4A3D">
        <w:t>V</w:t>
      </w:r>
      <w:r w:rsidRPr="008E4A3D">
        <w:rPr>
          <w:vertAlign w:val="subscript"/>
        </w:rPr>
        <w:t>B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>On a évidemment : U</w:t>
      </w:r>
      <w:r w:rsidRPr="008E4A3D">
        <w:rPr>
          <w:vertAlign w:val="subscript"/>
        </w:rPr>
        <w:t>AB</w:t>
      </w:r>
      <w:r w:rsidRPr="008E4A3D">
        <w:t xml:space="preserve"> = V</w:t>
      </w:r>
      <w:r w:rsidRPr="008E4A3D">
        <w:rPr>
          <w:vertAlign w:val="subscript"/>
        </w:rPr>
        <w:t>A</w:t>
      </w:r>
      <w:r w:rsidRPr="008E4A3D">
        <w:t xml:space="preserve"> </w:t>
      </w:r>
      <w:r w:rsidRPr="008E4A3D">
        <w:rPr>
          <w:rFonts w:eastAsia="SymbolMT"/>
        </w:rPr>
        <w:t xml:space="preserve">– </w:t>
      </w:r>
      <w:r w:rsidRPr="008E4A3D">
        <w:t>V</w:t>
      </w:r>
      <w:r w:rsidRPr="008E4A3D">
        <w:rPr>
          <w:vertAlign w:val="subscript"/>
        </w:rPr>
        <w:t>B</w:t>
      </w:r>
      <w:r w:rsidRPr="008E4A3D">
        <w:t xml:space="preserve"> = - U</w:t>
      </w:r>
      <w:r w:rsidRPr="008E4A3D">
        <w:rPr>
          <w:vertAlign w:val="subscript"/>
        </w:rPr>
        <w:t>BA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 xml:space="preserve">Souvent une parle de la </w:t>
      </w:r>
      <w:r w:rsidRPr="008E4A3D">
        <w:rPr>
          <w:b/>
          <w:bCs/>
        </w:rPr>
        <w:t xml:space="preserve">tension électrique aux bornes d'un appareil électrique </w:t>
      </w:r>
      <w:r w:rsidRPr="008E4A3D">
        <w:t xml:space="preserve">: il s'agit alors de la différence de potentiel prise positivement : </w:t>
      </w:r>
      <w:r w:rsidRPr="008E4A3D">
        <w:rPr>
          <w:position w:val="-14"/>
        </w:rPr>
        <w:object w:dxaOrig="1300" w:dyaOrig="400">
          <v:shape id="_x0000_i1047" type="#_x0000_t75" style="width:68.85pt;height:21.9pt" o:ole="">
            <v:imagedata r:id="rId56" o:title=""/>
          </v:shape>
          <o:OLEObject Type="Embed" ProgID="Equation.DSMT4" ShapeID="_x0000_i1047" DrawAspect="Content" ObjectID="_1629686437" r:id="rId57"/>
        </w:object>
      </w:r>
      <w:r w:rsidRPr="008E4A3D">
        <w:t>.</w:t>
      </w:r>
    </w:p>
    <w:p w:rsidR="008E4A3D" w:rsidRPr="008E4A3D" w:rsidRDefault="00541416" w:rsidP="008E4A3D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378460</wp:posOffset>
            </wp:positionV>
            <wp:extent cx="2131060" cy="1510665"/>
            <wp:effectExtent l="0" t="0" r="2540" b="0"/>
            <wp:wrapThrough wrapText="bothSides">
              <wp:wrapPolygon edited="0">
                <wp:start x="0" y="0"/>
                <wp:lineTo x="0" y="21246"/>
                <wp:lineTo x="21433" y="21246"/>
                <wp:lineTo x="21433" y="0"/>
                <wp:lineTo x="0" y="0"/>
              </wp:wrapPolygon>
            </wp:wrapThrough>
            <wp:docPr id="1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3D" w:rsidRPr="008E4A3D">
        <w:t xml:space="preserve">Sur les schémas, les tensions sont représentées par </w:t>
      </w:r>
      <w:r w:rsidR="008E4A3D" w:rsidRPr="008E4A3D">
        <w:rPr>
          <w:b/>
          <w:bCs/>
        </w:rPr>
        <w:t>des flèches allant du potentiel moins élevé vers le potentiel plus élevé</w:t>
      </w:r>
      <w:r w:rsidR="008E4A3D"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C00000"/>
        </w:rPr>
      </w:pPr>
      <w:r w:rsidRPr="008E4A3D">
        <w:rPr>
          <w:b/>
          <w:bCs/>
          <w:color w:val="C00000"/>
        </w:rPr>
        <w:t>4- Plan équipotentiel</w:t>
      </w:r>
    </w:p>
    <w:p w:rsidR="008E4A3D" w:rsidRPr="008E4A3D" w:rsidRDefault="008E4A3D" w:rsidP="008E4A3D">
      <w:pPr>
        <w:autoSpaceDE w:val="0"/>
        <w:autoSpaceDN w:val="0"/>
        <w:adjustRightInd w:val="0"/>
      </w:pPr>
      <w:r w:rsidRPr="008E4A3D">
        <w:t>On considère deux points A et A′ situés sur le même plan parallèle aux deux plaques P et N, ce plan est perpendiculaire aux lignes de champ.</w:t>
      </w:r>
    </w:p>
    <w:p w:rsidR="008E4A3D" w:rsidRPr="008E4A3D" w:rsidRDefault="008E4A3D" w:rsidP="008E4A3D">
      <w:pPr>
        <w:autoSpaceDE w:val="0"/>
        <w:autoSpaceDN w:val="0"/>
        <w:adjustRightInd w:val="0"/>
        <w:rPr>
          <w:color w:val="0000CC"/>
        </w:rPr>
      </w:pPr>
      <w:r w:rsidRPr="008E4A3D">
        <w:t xml:space="preserve">On a : </w:t>
      </w:r>
      <w:r w:rsidRPr="008E4A3D">
        <w:rPr>
          <w:position w:val="-12"/>
        </w:rPr>
        <w:object w:dxaOrig="2299" w:dyaOrig="400">
          <v:shape id="_x0000_i1048" type="#_x0000_t75" style="width:122.7pt;height:21.9pt" o:ole="">
            <v:imagedata r:id="rId59" o:title=""/>
          </v:shape>
          <o:OLEObject Type="Embed" ProgID="Equation.DSMT4" ShapeID="_x0000_i1048" DrawAspect="Content" ObjectID="_1629686438" r:id="rId60"/>
        </w:object>
      </w:r>
      <w:r w:rsidRPr="008E4A3D">
        <w:t xml:space="preserve"> donc : V</w:t>
      </w:r>
      <w:r w:rsidRPr="008E4A3D">
        <w:rPr>
          <w:vertAlign w:val="subscript"/>
        </w:rPr>
        <w:t>A</w:t>
      </w:r>
      <w:r w:rsidRPr="008E4A3D">
        <w:t xml:space="preserve"> =</w:t>
      </w:r>
      <w:r w:rsidRPr="008E4A3D">
        <w:rPr>
          <w:rFonts w:eastAsia="SymbolMT"/>
        </w:rPr>
        <w:t xml:space="preserve"> </w:t>
      </w:r>
      <w:r w:rsidRPr="008E4A3D">
        <w:t>V</w:t>
      </w:r>
      <w:r w:rsidRPr="008E4A3D">
        <w:rPr>
          <w:vertAlign w:val="subscript"/>
        </w:rPr>
        <w:t>A′</w:t>
      </w:r>
      <w:r w:rsidRPr="008E4A3D">
        <w:t xml:space="preserve"> tous les points de ce plan ont le même potentiel. On appel ce plan : </w:t>
      </w:r>
      <w:r w:rsidRPr="008E4A3D">
        <w:rPr>
          <w:b/>
          <w:bCs/>
          <w:color w:val="0000CC"/>
        </w:rPr>
        <w:t>Plan équipotentiel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  <w:rPr>
          <w:b/>
          <w:bCs/>
          <w:color w:val="0000CC"/>
        </w:rPr>
      </w:pPr>
      <w:r w:rsidRPr="008E4A3D">
        <w:rPr>
          <w:b/>
          <w:bCs/>
          <w:color w:val="0000CC"/>
        </w:rPr>
        <w:t>Tout plan parallèle aux plaques N et P est une surface équipotentielle.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</w:pPr>
      <w:r w:rsidRPr="008E4A3D">
        <w:t xml:space="preserve">Un plan équipotentiel est un plan dont tous les points sont au même potentiel, ce plan est situé à la même distance des plaques </w:t>
      </w:r>
      <w:r w:rsidRPr="008E4A3D">
        <w:rPr>
          <w:b/>
          <w:bCs/>
        </w:rPr>
        <w:t>P</w:t>
      </w:r>
      <w:r w:rsidRPr="008E4A3D">
        <w:t xml:space="preserve"> et </w:t>
      </w:r>
      <w:r w:rsidRPr="008E4A3D">
        <w:rPr>
          <w:b/>
          <w:bCs/>
        </w:rPr>
        <w:t>N</w:t>
      </w:r>
      <w:r w:rsidRPr="008E4A3D">
        <w:t>.</w:t>
      </w:r>
    </w:p>
    <w:p w:rsidR="008E4A3D" w:rsidRPr="008E4A3D" w:rsidRDefault="00541416" w:rsidP="008E4A3D">
      <w:pPr>
        <w:autoSpaceDE w:val="0"/>
        <w:autoSpaceDN w:val="0"/>
        <w:adjustRightInd w:val="0"/>
        <w:rPr>
          <w:color w:val="28009A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108585</wp:posOffset>
            </wp:positionV>
            <wp:extent cx="2933065" cy="1564640"/>
            <wp:effectExtent l="0" t="0" r="635" b="0"/>
            <wp:wrapThrough wrapText="bothSides">
              <wp:wrapPolygon edited="0">
                <wp:start x="0" y="0"/>
                <wp:lineTo x="0" y="21302"/>
                <wp:lineTo x="21464" y="21302"/>
                <wp:lineTo x="21464" y="0"/>
                <wp:lineTo x="0" y="0"/>
              </wp:wrapPolygon>
            </wp:wrapThrough>
            <wp:docPr id="21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3D" w:rsidRPr="008E4A3D">
        <w:rPr>
          <w:color w:val="28009A"/>
        </w:rPr>
        <w:t>NB : Pour une charge ponctuelle, on parle des surfaces équipotentielles et lignes de champ</w:t>
      </w:r>
    </w:p>
    <w:p w:rsidR="008E4A3D" w:rsidRPr="008E4A3D" w:rsidRDefault="008E4A3D" w:rsidP="008E4A3D">
      <w:pPr>
        <w:numPr>
          <w:ilvl w:val="0"/>
          <w:numId w:val="16"/>
        </w:numPr>
        <w:autoSpaceDE w:val="0"/>
        <w:autoSpaceDN w:val="0"/>
        <w:adjustRightInd w:val="0"/>
        <w:ind w:left="0" w:hanging="284"/>
        <w:rPr>
          <w:color w:val="FF3333"/>
        </w:rPr>
      </w:pPr>
      <w:r w:rsidRPr="008E4A3D">
        <w:rPr>
          <w:color w:val="FF3333"/>
        </w:rPr>
        <w:t xml:space="preserve"> Surfaces équipotentielles</w:t>
      </w:r>
    </w:p>
    <w:p w:rsidR="008E4A3D" w:rsidRPr="008E4A3D" w:rsidRDefault="008E4A3D" w:rsidP="008E4A3D">
      <w:pPr>
        <w:numPr>
          <w:ilvl w:val="0"/>
          <w:numId w:val="17"/>
        </w:numPr>
        <w:autoSpaceDE w:val="0"/>
        <w:autoSpaceDN w:val="0"/>
        <w:adjustRightInd w:val="0"/>
        <w:ind w:left="0" w:hanging="284"/>
        <w:rPr>
          <w:color w:val="000000"/>
        </w:rPr>
      </w:pPr>
      <w:r w:rsidRPr="008E4A3D">
        <w:rPr>
          <w:color w:val="000000"/>
        </w:rPr>
        <w:t xml:space="preserve"> ensemble des points ayant la même valeur de potentiel ;</w:t>
      </w:r>
    </w:p>
    <w:p w:rsidR="008E4A3D" w:rsidRPr="008E4A3D" w:rsidRDefault="008E4A3D" w:rsidP="008E4A3D">
      <w:pPr>
        <w:numPr>
          <w:ilvl w:val="0"/>
          <w:numId w:val="17"/>
        </w:numPr>
        <w:autoSpaceDE w:val="0"/>
        <w:autoSpaceDN w:val="0"/>
        <w:adjustRightInd w:val="0"/>
        <w:ind w:left="0" w:hanging="284"/>
        <w:rPr>
          <w:color w:val="000000"/>
        </w:rPr>
      </w:pPr>
      <w:r w:rsidRPr="008E4A3D">
        <w:rPr>
          <w:color w:val="000000"/>
        </w:rPr>
        <w:t xml:space="preserve"> vérifient l’équation :</w:t>
      </w:r>
      <w:r w:rsidRPr="008E4A3D">
        <w:rPr>
          <w:color w:val="000000"/>
        </w:rPr>
        <w:tab/>
      </w:r>
      <w:r w:rsidRPr="008E4A3D">
        <w:rPr>
          <w:position w:val="-10"/>
        </w:rPr>
        <w:object w:dxaOrig="4540" w:dyaOrig="380">
          <v:shape id="_x0000_i1049" type="#_x0000_t75" style="width:241.05pt;height:20.65pt" o:ole="">
            <v:imagedata r:id="rId62" o:title=""/>
          </v:shape>
          <o:OLEObject Type="Embed" ProgID="Equation.DSMT4" ShapeID="_x0000_i1049" DrawAspect="Content" ObjectID="_1629686439" r:id="rId63"/>
        </w:object>
      </w:r>
    </w:p>
    <w:p w:rsidR="008E4A3D" w:rsidRPr="008E4A3D" w:rsidRDefault="008E4A3D" w:rsidP="008E4A3D">
      <w:pPr>
        <w:numPr>
          <w:ilvl w:val="0"/>
          <w:numId w:val="17"/>
        </w:numPr>
        <w:autoSpaceDE w:val="0"/>
        <w:autoSpaceDN w:val="0"/>
        <w:adjustRightInd w:val="0"/>
        <w:ind w:left="0" w:hanging="284"/>
        <w:jc w:val="both"/>
        <w:rPr>
          <w:color w:val="000000"/>
        </w:rPr>
      </w:pPr>
      <w:r w:rsidRPr="008E4A3D">
        <w:t xml:space="preserve"> </w:t>
      </w:r>
      <w:r w:rsidRPr="008E4A3D">
        <w:rPr>
          <w:color w:val="000000"/>
        </w:rPr>
        <w:t>champ électrostatique est toujours normal (ou perpendiculaire) aux surfaces équipotentielles</w:t>
      </w:r>
    </w:p>
    <w:p w:rsidR="008E4A3D" w:rsidRPr="008E4A3D" w:rsidRDefault="008E4A3D" w:rsidP="008E4A3D">
      <w:pPr>
        <w:numPr>
          <w:ilvl w:val="0"/>
          <w:numId w:val="18"/>
        </w:numPr>
        <w:autoSpaceDE w:val="0"/>
        <w:autoSpaceDN w:val="0"/>
        <w:adjustRightInd w:val="0"/>
        <w:ind w:left="0" w:hanging="284"/>
        <w:rPr>
          <w:color w:val="FF3333"/>
        </w:rPr>
      </w:pPr>
      <w:r w:rsidRPr="008E4A3D">
        <w:rPr>
          <w:color w:val="FF3333"/>
        </w:rPr>
        <w:t xml:space="preserve"> Lignes de champ</w:t>
      </w:r>
    </w:p>
    <w:p w:rsidR="008E4A3D" w:rsidRPr="008E4A3D" w:rsidRDefault="008E4A3D" w:rsidP="008E4A3D">
      <w:pPr>
        <w:numPr>
          <w:ilvl w:val="0"/>
          <w:numId w:val="19"/>
        </w:numPr>
        <w:autoSpaceDE w:val="0"/>
        <w:autoSpaceDN w:val="0"/>
        <w:adjustRightInd w:val="0"/>
        <w:ind w:left="0" w:hanging="284"/>
        <w:jc w:val="both"/>
        <w:rPr>
          <w:b/>
          <w:bCs/>
          <w:color w:val="000000"/>
        </w:rPr>
      </w:pPr>
      <w:r w:rsidRPr="008E4A3D">
        <w:rPr>
          <w:color w:val="000000"/>
        </w:rPr>
        <w:t xml:space="preserve"> courbes auxquelles le champ électrostatique est </w:t>
      </w:r>
      <w:r w:rsidRPr="008E4A3D">
        <w:rPr>
          <w:b/>
          <w:bCs/>
          <w:color w:val="000000"/>
        </w:rPr>
        <w:t xml:space="preserve">tangent </w:t>
      </w:r>
      <w:r w:rsidRPr="008E4A3D">
        <w:rPr>
          <w:color w:val="000000"/>
        </w:rPr>
        <w:t xml:space="preserve">en tout point et orientées dans le </w:t>
      </w:r>
      <w:r w:rsidRPr="008E4A3D">
        <w:rPr>
          <w:b/>
          <w:bCs/>
          <w:color w:val="000000"/>
        </w:rPr>
        <w:t>sens du champ ;</w:t>
      </w:r>
    </w:p>
    <w:p w:rsidR="008E4A3D" w:rsidRPr="008E4A3D" w:rsidRDefault="008E4A3D" w:rsidP="008E4A3D">
      <w:pPr>
        <w:numPr>
          <w:ilvl w:val="0"/>
          <w:numId w:val="19"/>
        </w:numPr>
        <w:autoSpaceDE w:val="0"/>
        <w:autoSpaceDN w:val="0"/>
        <w:adjustRightInd w:val="0"/>
        <w:ind w:left="0" w:hanging="284"/>
        <w:jc w:val="both"/>
        <w:rPr>
          <w:color w:val="000000"/>
        </w:rPr>
      </w:pPr>
      <w:r w:rsidRPr="008E4A3D">
        <w:rPr>
          <w:b/>
          <w:bCs/>
          <w:color w:val="000000"/>
        </w:rPr>
        <w:t xml:space="preserve"> </w:t>
      </w:r>
      <w:r w:rsidRPr="008E4A3D">
        <w:rPr>
          <w:color w:val="000000"/>
        </w:rPr>
        <w:t xml:space="preserve">lignes de champ toujours </w:t>
      </w:r>
      <w:r w:rsidRPr="008E4A3D">
        <w:rPr>
          <w:b/>
          <w:bCs/>
          <w:color w:val="000000"/>
        </w:rPr>
        <w:t xml:space="preserve">perpendiculaires </w:t>
      </w:r>
      <w:r w:rsidRPr="008E4A3D">
        <w:rPr>
          <w:color w:val="000000"/>
        </w:rPr>
        <w:t>aux surfaces équipotentielles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color w:val="000000"/>
        </w:rPr>
      </w:pPr>
      <w:r w:rsidRPr="008E4A3D">
        <w:rPr>
          <w:b/>
          <w:bCs/>
          <w:color w:val="0000CC"/>
        </w:rPr>
        <w:t>Exemple d'une charge ponctuelle en O:</w:t>
      </w:r>
      <w:r w:rsidRPr="008E4A3D">
        <w:rPr>
          <w:b/>
          <w:bCs/>
          <w:color w:val="23B9DD"/>
        </w:rPr>
        <w:t xml:space="preserve"> </w:t>
      </w:r>
      <w:r w:rsidRPr="008E4A3D">
        <w:rPr>
          <w:color w:val="000000"/>
        </w:rPr>
        <w:t>le potentiel ne dépend que de la distance à la charge, les surfaces équipotentielles sont des sphères centrées sur O.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C00000"/>
        </w:rPr>
      </w:pPr>
      <w:r w:rsidRPr="008E4A3D">
        <w:rPr>
          <w:b/>
          <w:bCs/>
          <w:color w:val="C00000"/>
        </w:rPr>
        <w:t>5- Le potentiel électrique et le vecteur champ électrique</w:t>
      </w:r>
    </w:p>
    <w:p w:rsidR="008E4A3D" w:rsidRPr="008E4A3D" w:rsidRDefault="008E4A3D" w:rsidP="008E4A3D">
      <w:pPr>
        <w:autoSpaceDE w:val="0"/>
        <w:autoSpaceDN w:val="0"/>
        <w:adjustRightInd w:val="0"/>
      </w:pPr>
      <w:r w:rsidRPr="008E4A3D">
        <w:t>On considère les deux points A et B de la figure 7 :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</w:pPr>
      <w:r w:rsidRPr="008E4A3D">
        <w:rPr>
          <w:position w:val="-12"/>
        </w:rPr>
        <w:object w:dxaOrig="2000" w:dyaOrig="400">
          <v:shape id="_x0000_i1050" type="#_x0000_t75" style="width:106.45pt;height:21.9pt" o:ole="">
            <v:imagedata r:id="rId64" o:title=""/>
          </v:shape>
          <o:OLEObject Type="Embed" ProgID="Equation.DSMT4" ShapeID="_x0000_i1050" DrawAspect="Content" ObjectID="_1629686440" r:id="rId65"/>
        </w:object>
      </w:r>
      <w:r w:rsidRPr="008E4A3D">
        <w:tab/>
        <w:t>d’où</w:t>
      </w:r>
      <w:r w:rsidRPr="008E4A3D">
        <w:tab/>
      </w:r>
      <w:r w:rsidRPr="008E4A3D">
        <w:tab/>
      </w:r>
      <w:r w:rsidRPr="008E4A3D">
        <w:rPr>
          <w:position w:val="-12"/>
        </w:rPr>
        <w:object w:dxaOrig="760" w:dyaOrig="360">
          <v:shape id="_x0000_i1051" type="#_x0000_t75" style="width:40.05pt;height:19.4pt" o:ole="">
            <v:imagedata r:id="rId66" o:title=""/>
          </v:shape>
          <o:OLEObject Type="Embed" ProgID="Equation.DSMT4" ShapeID="_x0000_i1051" DrawAspect="Content" ObjectID="_1629686441" r:id="rId67"/>
        </w:object>
      </w:r>
    </w:p>
    <w:p w:rsidR="008E4A3D" w:rsidRPr="008E4A3D" w:rsidRDefault="008E4A3D" w:rsidP="008E4A3D">
      <w:pPr>
        <w:autoSpaceDE w:val="0"/>
        <w:autoSpaceDN w:val="0"/>
        <w:adjustRightInd w:val="0"/>
        <w:rPr>
          <w:color w:val="0000CC"/>
        </w:rPr>
      </w:pPr>
      <w:r w:rsidRPr="008E4A3D">
        <w:rPr>
          <w:color w:val="0000CC"/>
        </w:rPr>
        <w:t xml:space="preserve">Le sens du vecteur champ électrique </w:t>
      </w:r>
      <w:r w:rsidRPr="008E4A3D">
        <w:rPr>
          <w:color w:val="0000CC"/>
          <w:position w:val="-4"/>
        </w:rPr>
        <w:object w:dxaOrig="240" w:dyaOrig="320">
          <v:shape id="_x0000_i1052" type="#_x0000_t75" style="width:12.5pt;height:17.55pt" o:ole="">
            <v:imagedata r:id="rId39" o:title=""/>
          </v:shape>
          <o:OLEObject Type="Embed" ProgID="Equation.DSMT4" ShapeID="_x0000_i1052" DrawAspect="Content" ObjectID="_1629686442" r:id="rId68"/>
        </w:object>
      </w:r>
      <w:r w:rsidRPr="008E4A3D">
        <w:rPr>
          <w:color w:val="0000CC"/>
        </w:rPr>
        <w:t xml:space="preserve"> est dans le sens des potentiels décroissants.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FF0000"/>
        </w:rPr>
      </w:pPr>
      <w:r w:rsidRPr="008E4A3D">
        <w:rPr>
          <w:b/>
          <w:bCs/>
          <w:color w:val="FF0000"/>
        </w:rPr>
        <w:t>III- Energie potentielle électrostatique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C00000"/>
        </w:rPr>
      </w:pPr>
      <w:r w:rsidRPr="008E4A3D">
        <w:rPr>
          <w:b/>
          <w:bCs/>
          <w:color w:val="C00000"/>
        </w:rPr>
        <w:t>1- Définition</w:t>
      </w:r>
    </w:p>
    <w:p w:rsidR="008E4A3D" w:rsidRPr="008E4A3D" w:rsidRDefault="008E4A3D" w:rsidP="008E4A3D">
      <w:pPr>
        <w:shd w:val="clear" w:color="auto" w:fill="DDD9C3"/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8E4A3D">
        <w:rPr>
          <w:rFonts w:eastAsia="TimesNewRomanPSMT"/>
        </w:rPr>
        <w:t>On appelle énergie potentielle électrostatique notée E</w:t>
      </w:r>
      <w:r w:rsidRPr="008E4A3D">
        <w:rPr>
          <w:rFonts w:eastAsia="TimesNewRomanPSMT"/>
          <w:vertAlign w:val="subscript"/>
        </w:rPr>
        <w:t>Pe</w:t>
      </w:r>
      <w:r w:rsidRPr="008E4A3D">
        <w:rPr>
          <w:rFonts w:eastAsia="TimesNewRomanPSMT"/>
        </w:rPr>
        <w:t>, de la charge q le travail à fournir pour amener cette charge de l'infini (où le potentiel est nul) à la position M (où le potentiel est V</w:t>
      </w:r>
      <w:r w:rsidRPr="008E4A3D">
        <w:rPr>
          <w:rFonts w:eastAsia="TimesNewRomanPSMT"/>
          <w:vertAlign w:val="subscript"/>
        </w:rPr>
        <w:t>M</w:t>
      </w:r>
      <w:r w:rsidRPr="008E4A3D">
        <w:rPr>
          <w:rFonts w:eastAsia="TimesNewRomanPSMT"/>
        </w:rPr>
        <w:t>).</w:t>
      </w:r>
    </w:p>
    <w:p w:rsidR="008E4A3D" w:rsidRPr="008E4A3D" w:rsidRDefault="008E4A3D" w:rsidP="008E4A3D">
      <w:pPr>
        <w:autoSpaceDE w:val="0"/>
        <w:autoSpaceDN w:val="0"/>
        <w:adjustRightInd w:val="0"/>
        <w:rPr>
          <w:b/>
          <w:bCs/>
          <w:color w:val="C00000"/>
        </w:rPr>
      </w:pPr>
      <w:r w:rsidRPr="008E4A3D">
        <w:rPr>
          <w:b/>
          <w:bCs/>
          <w:color w:val="C00000"/>
        </w:rPr>
        <w:t>2- Etude analogique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</w:pPr>
      <w:r w:rsidRPr="008E4A3D">
        <w:t>La figure ci-dessous représente une comparaison du mouvement d’un corps dans un plan de gravitation uniforme, et dans un champ électrique uniforme.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677"/>
      </w:tblGrid>
      <w:tr w:rsidR="008E4A3D" w:rsidRPr="00782D4A" w:rsidTr="004D4B3E">
        <w:tc>
          <w:tcPr>
            <w:tcW w:w="4678" w:type="dxa"/>
            <w:shd w:val="clear" w:color="auto" w:fill="auto"/>
          </w:tcPr>
          <w:p w:rsidR="008E4A3D" w:rsidRPr="008E4A3D" w:rsidRDefault="008E4A3D" w:rsidP="004D4B3E">
            <w:pPr>
              <w:autoSpaceDE w:val="0"/>
              <w:autoSpaceDN w:val="0"/>
              <w:adjustRightInd w:val="0"/>
              <w:ind w:firstLine="708"/>
              <w:jc w:val="center"/>
              <w:rPr>
                <w:color w:val="0000CC"/>
              </w:rPr>
            </w:pPr>
            <w:r w:rsidRPr="008E4A3D">
              <w:object w:dxaOrig="8145" w:dyaOrig="7035">
                <v:shape id="_x0000_i1053" type="#_x0000_t75" style="width:174.05pt;height:129.6pt" o:ole="">
                  <v:imagedata r:id="rId69" o:title=""/>
                </v:shape>
                <o:OLEObject Type="Embed" ProgID="PBrush" ShapeID="_x0000_i1053" DrawAspect="Content" ObjectID="_1629686443" r:id="rId70"/>
              </w:object>
            </w:r>
          </w:p>
        </w:tc>
        <w:tc>
          <w:tcPr>
            <w:tcW w:w="4677" w:type="dxa"/>
            <w:shd w:val="clear" w:color="auto" w:fill="auto"/>
          </w:tcPr>
          <w:p w:rsidR="008E4A3D" w:rsidRPr="008E4A3D" w:rsidRDefault="008E4A3D" w:rsidP="004D4B3E">
            <w:pPr>
              <w:autoSpaceDE w:val="0"/>
              <w:autoSpaceDN w:val="0"/>
              <w:adjustRightInd w:val="0"/>
              <w:jc w:val="center"/>
              <w:rPr>
                <w:color w:val="0000CC"/>
              </w:rPr>
            </w:pPr>
            <w:r w:rsidRPr="008E4A3D">
              <w:object w:dxaOrig="8265" w:dyaOrig="6585">
                <v:shape id="_x0000_i1054" type="#_x0000_t75" style="width:200.95pt;height:127.1pt" o:ole="">
                  <v:imagedata r:id="rId71" o:title=""/>
                </v:shape>
                <o:OLEObject Type="Embed" ProgID="PBrush" ShapeID="_x0000_i1054" DrawAspect="Content" ObjectID="_1629686444" r:id="rId72"/>
              </w:object>
            </w:r>
          </w:p>
        </w:tc>
      </w:tr>
      <w:tr w:rsidR="008E4A3D" w:rsidRPr="00782D4A" w:rsidTr="004D4B3E">
        <w:tc>
          <w:tcPr>
            <w:tcW w:w="9355" w:type="dxa"/>
            <w:gridSpan w:val="2"/>
            <w:shd w:val="clear" w:color="auto" w:fill="auto"/>
          </w:tcPr>
          <w:p w:rsidR="008E4A3D" w:rsidRPr="008E4A3D" w:rsidRDefault="008E4A3D" w:rsidP="004D4B3E">
            <w:pPr>
              <w:autoSpaceDE w:val="0"/>
              <w:autoSpaceDN w:val="0"/>
              <w:adjustRightInd w:val="0"/>
              <w:jc w:val="center"/>
              <w:rPr>
                <w:color w:val="0000CC"/>
              </w:rPr>
            </w:pPr>
            <w:r w:rsidRPr="008E4A3D">
              <w:t xml:space="preserve">Existence d’une analogie entre le champ électrostatique </w:t>
            </w:r>
            <w:r w:rsidRPr="008E4A3D">
              <w:rPr>
                <w:position w:val="-4"/>
              </w:rPr>
              <w:object w:dxaOrig="240" w:dyaOrig="320">
                <v:shape id="_x0000_i1055" type="#_x0000_t75" style="width:12.5pt;height:17.55pt" o:ole="">
                  <v:imagedata r:id="rId73" o:title=""/>
                </v:shape>
                <o:OLEObject Type="Embed" ProgID="Equation.DSMT4" ShapeID="_x0000_i1055" DrawAspect="Content" ObjectID="_1629686445" r:id="rId74"/>
              </w:object>
            </w:r>
            <w:r w:rsidRPr="008E4A3D">
              <w:t xml:space="preserve"> et le champ de gravitation </w:t>
            </w:r>
            <w:r w:rsidRPr="008E4A3D">
              <w:rPr>
                <w:position w:val="-10"/>
              </w:rPr>
              <w:object w:dxaOrig="220" w:dyaOrig="380">
                <v:shape id="_x0000_i1056" type="#_x0000_t75" style="width:11.9pt;height:20.65pt" o:ole="">
                  <v:imagedata r:id="rId75" o:title=""/>
                </v:shape>
                <o:OLEObject Type="Embed" ProgID="Equation.DSMT4" ShapeID="_x0000_i1056" DrawAspect="Content" ObjectID="_1629686446" r:id="rId76"/>
              </w:object>
            </w:r>
            <w:r w:rsidRPr="008E4A3D">
              <w:t>.</w:t>
            </w:r>
          </w:p>
        </w:tc>
      </w:tr>
    </w:tbl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  <w:rPr>
          <w:color w:val="0000CC"/>
        </w:rPr>
      </w:pPr>
      <w:r w:rsidRPr="008E4A3D">
        <w:rPr>
          <w:color w:val="0000CC"/>
        </w:rPr>
        <w:t>Par, comparaison des expressions du travail de la force électrique et du travail du poids, on constate qu’il a une analogie entre le champ électrostatique et le champ de pesanteur.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 xml:space="preserve">On sait que l’énergie potentielle de pesanteur : </w:t>
      </w:r>
      <w:r w:rsidRPr="008E4A3D">
        <w:rPr>
          <w:b/>
          <w:bCs/>
        </w:rPr>
        <w:t>E</w:t>
      </w:r>
      <w:r w:rsidRPr="008E4A3D">
        <w:rPr>
          <w:b/>
          <w:bCs/>
          <w:vertAlign w:val="subscript"/>
        </w:rPr>
        <w:t>pp</w:t>
      </w:r>
      <w:r w:rsidRPr="008E4A3D">
        <w:rPr>
          <w:b/>
          <w:bCs/>
        </w:rPr>
        <w:t xml:space="preserve"> = mgz + C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Par analogie on définit l’énergie potentielle électrostatique comme suit :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  <w:rPr>
          <w:highlight w:val="lightGray"/>
        </w:rPr>
      </w:pPr>
      <w:r w:rsidRPr="008E4A3D">
        <w:rPr>
          <w:highlight w:val="lightGray"/>
        </w:rPr>
        <w:t xml:space="preserve">L’énergie potentielle électrique d’une charge électrique </w:t>
      </w:r>
      <w:r w:rsidRPr="008E4A3D">
        <w:rPr>
          <w:b/>
          <w:bCs/>
          <w:highlight w:val="lightGray"/>
        </w:rPr>
        <w:t>q</w:t>
      </w:r>
      <w:r w:rsidRPr="008E4A3D">
        <w:rPr>
          <w:highlight w:val="lightGray"/>
        </w:rPr>
        <w:t xml:space="preserve"> placée dans un champ électrique uniforme est : </w:t>
      </w:r>
      <w:r w:rsidRPr="008E4A3D">
        <w:rPr>
          <w:b/>
          <w:bCs/>
          <w:highlight w:val="lightGray"/>
        </w:rPr>
        <w:t>E</w:t>
      </w:r>
      <w:r w:rsidRPr="008E4A3D">
        <w:rPr>
          <w:b/>
          <w:bCs/>
          <w:highlight w:val="lightGray"/>
          <w:vertAlign w:val="subscript"/>
        </w:rPr>
        <w:t>pe</w:t>
      </w:r>
      <w:r w:rsidRPr="008E4A3D">
        <w:rPr>
          <w:b/>
          <w:bCs/>
          <w:highlight w:val="lightGray"/>
        </w:rPr>
        <w:t xml:space="preserve"> = qEx + C</w:t>
      </w:r>
      <w:r w:rsidRPr="008E4A3D">
        <w:rPr>
          <w:highlight w:val="lightGray"/>
        </w:rPr>
        <w:t xml:space="preserve"> et comme V = E.x ;</w:t>
      </w:r>
      <w:r w:rsidRPr="008E4A3D">
        <w:rPr>
          <w:highlight w:val="lightGray"/>
        </w:rPr>
        <w:tab/>
      </w:r>
      <w:r w:rsidRPr="008E4A3D">
        <w:rPr>
          <w:highlight w:val="lightGray"/>
        </w:rPr>
        <w:tab/>
      </w:r>
      <w:r w:rsidRPr="008E4A3D">
        <w:rPr>
          <w:b/>
          <w:bCs/>
          <w:highlight w:val="lightGray"/>
        </w:rPr>
        <w:t>E</w:t>
      </w:r>
      <w:r w:rsidRPr="008E4A3D">
        <w:rPr>
          <w:b/>
          <w:bCs/>
          <w:highlight w:val="lightGray"/>
          <w:vertAlign w:val="subscript"/>
        </w:rPr>
        <w:t>pe</w:t>
      </w:r>
      <w:r w:rsidRPr="008E4A3D">
        <w:rPr>
          <w:b/>
          <w:bCs/>
          <w:highlight w:val="lightGray"/>
        </w:rPr>
        <w:t xml:space="preserve"> = qV + C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</w:pPr>
      <w:r w:rsidRPr="008E4A3D">
        <w:rPr>
          <w:b/>
          <w:bCs/>
          <w:highlight w:val="lightGray"/>
        </w:rPr>
        <w:t>C</w:t>
      </w:r>
      <w:r w:rsidRPr="008E4A3D">
        <w:rPr>
          <w:highlight w:val="lightGray"/>
        </w:rPr>
        <w:t xml:space="preserve"> est une constante qui dépend du choix de l’origine des potentiels électriques.</w:t>
      </w:r>
    </w:p>
    <w:p w:rsidR="008E4A3D" w:rsidRPr="008E4A3D" w:rsidRDefault="008E4A3D" w:rsidP="008E4A3D">
      <w:pPr>
        <w:autoSpaceDE w:val="0"/>
        <w:autoSpaceDN w:val="0"/>
        <w:adjustRightInd w:val="0"/>
      </w:pPr>
      <w:r w:rsidRPr="008E4A3D">
        <w:rPr>
          <w:b/>
          <w:bCs/>
        </w:rPr>
        <w:t xml:space="preserve">Attention : </w:t>
      </w:r>
      <w:r w:rsidRPr="008E4A3D">
        <w:t>m est toujours &gt; 0, mais q peut être &gt; 0 ou &lt; 0 !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Cette définition est valable pour un champ électrique quelconque.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</w:rPr>
      </w:pPr>
      <w:r w:rsidRPr="008E4A3D">
        <w:rPr>
          <w:b/>
          <w:bCs/>
        </w:rPr>
        <w:t>Remarques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Le potentiel V d'un point d'un point du champ est égal à l'énergie potentielle E</w:t>
      </w:r>
      <w:r w:rsidRPr="008E4A3D">
        <w:rPr>
          <w:vertAlign w:val="subscript"/>
        </w:rPr>
        <w:t>pe</w:t>
      </w:r>
      <w:r w:rsidRPr="008E4A3D">
        <w:t xml:space="preserve"> que posséderait une charge témoin de +1 C placée en ce point.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</w:pPr>
      <w:r w:rsidRPr="008E4A3D">
        <w:rPr>
          <w:position w:val="-28"/>
        </w:rPr>
        <w:object w:dxaOrig="900" w:dyaOrig="700">
          <v:shape id="_x0000_i1057" type="#_x0000_t75" style="width:38.2pt;height:30.7pt" o:ole="">
            <v:imagedata r:id="rId77" o:title=""/>
          </v:shape>
          <o:OLEObject Type="Embed" ProgID="Equation.DSMT4" ShapeID="_x0000_i1057" DrawAspect="Content" ObjectID="_1629686447" r:id="rId78"/>
        </w:objec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</w:rPr>
      </w:pPr>
      <w:r w:rsidRPr="008E4A3D">
        <w:rPr>
          <w:b/>
          <w:bCs/>
        </w:rPr>
        <w:t>a) l’unité du potentiel électrique en S.I: le volt (V)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</w:pPr>
      <w:r w:rsidRPr="008E4A3D">
        <w:t>Si E</w:t>
      </w:r>
      <w:r w:rsidRPr="008E4A3D">
        <w:rPr>
          <w:vertAlign w:val="subscript"/>
        </w:rPr>
        <w:t>pe</w:t>
      </w:r>
      <w:r w:rsidRPr="008E4A3D">
        <w:t xml:space="preserve"> = 1 J et si q = 1 C, alors V = 1 J/C = 1 V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</w:rPr>
      </w:pPr>
      <w:r w:rsidRPr="008E4A3D">
        <w:rPr>
          <w:b/>
          <w:bCs/>
        </w:rPr>
        <w:t>b) Potentiel d'un point d'un champ uniforme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Comme E</w:t>
      </w:r>
      <w:r w:rsidRPr="008E4A3D">
        <w:rPr>
          <w:vertAlign w:val="subscript"/>
        </w:rPr>
        <w:t>pe</w:t>
      </w:r>
      <w:r w:rsidRPr="008E4A3D">
        <w:t xml:space="preserve"> </w:t>
      </w:r>
      <w:r w:rsidRPr="008E4A3D">
        <w:rPr>
          <w:rFonts w:eastAsia="SymbolMT"/>
        </w:rPr>
        <w:t xml:space="preserve">= </w:t>
      </w:r>
      <w:r w:rsidRPr="008E4A3D">
        <w:t xml:space="preserve">q.E.x , le potentiel d'un point d'abscisse x s'écrit: </w:t>
      </w:r>
      <w:r w:rsidRPr="008E4A3D">
        <w:tab/>
        <w:t xml:space="preserve">V </w:t>
      </w:r>
      <w:r w:rsidRPr="008E4A3D">
        <w:rPr>
          <w:rFonts w:eastAsia="SymbolMT"/>
        </w:rPr>
        <w:t xml:space="preserve">= </w:t>
      </w:r>
      <w:r w:rsidRPr="008E4A3D">
        <w:t>Ex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</w:pPr>
      <w:r w:rsidRPr="008E4A3D">
        <w:t>V ne dépend que de la position du point et du champ électrique.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</w:rPr>
      </w:pPr>
      <w:r w:rsidRPr="008E4A3D">
        <w:rPr>
          <w:b/>
          <w:bCs/>
        </w:rPr>
        <w:t>c) Nouvelle unité pour l'intensité du champ électrique E : le volt/mètre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 xml:space="preserve">Dans un champ uniforme </w:t>
      </w:r>
      <w:r w:rsidRPr="008E4A3D">
        <w:rPr>
          <w:position w:val="-24"/>
        </w:rPr>
        <w:object w:dxaOrig="720" w:dyaOrig="620">
          <v:shape id="_x0000_i1058" type="#_x0000_t75" style="width:38.2pt;height:33.2pt" o:ole="">
            <v:imagedata r:id="rId79" o:title=""/>
          </v:shape>
          <o:OLEObject Type="Embed" ProgID="Equation.DSMT4" ShapeID="_x0000_i1058" DrawAspect="Content" ObjectID="_1629686448" r:id="rId80"/>
        </w:object>
      </w:r>
      <w:r w:rsidRPr="008E4A3D">
        <w:t xml:space="preserve"> : si V = 1 V, et si x = 1 m, alors E = 1 V/m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rPr>
          <w:b/>
          <w:bCs/>
        </w:rPr>
        <w:t>Montrer que :</w:t>
      </w:r>
      <w:r w:rsidRPr="008E4A3D">
        <w:t xml:space="preserve"> 1 V/m = 1 N/C</w:t>
      </w:r>
    </w:p>
    <w:p w:rsidR="008E4A3D" w:rsidRPr="008E4A3D" w:rsidRDefault="008E4A3D" w:rsidP="008E4A3D">
      <w:pPr>
        <w:autoSpaceDE w:val="0"/>
        <w:autoSpaceDN w:val="0"/>
        <w:adjustRightInd w:val="0"/>
        <w:rPr>
          <w:color w:val="C00000"/>
        </w:rPr>
      </w:pPr>
      <w:r w:rsidRPr="008E4A3D">
        <w:rPr>
          <w:b/>
          <w:bCs/>
          <w:color w:val="C00000"/>
        </w:rPr>
        <w:t>3- Relation entre énergie potentielle et travail de la force électrique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 xml:space="preserve">L’expression du travail de la force électrique est : </w:t>
      </w:r>
      <w:r w:rsidRPr="008E4A3D">
        <w:rPr>
          <w:position w:val="-14"/>
        </w:rPr>
        <w:object w:dxaOrig="2260" w:dyaOrig="420">
          <v:shape id="_x0000_i1059" type="#_x0000_t75" style="width:96.4pt;height:18.8pt" o:ole="">
            <v:imagedata r:id="rId81" o:title=""/>
          </v:shape>
          <o:OLEObject Type="Embed" ProgID="Equation.DSMT4" ShapeID="_x0000_i1059" DrawAspect="Content" ObjectID="_1629686449" r:id="rId82"/>
        </w:object>
      </w:r>
      <w:r w:rsidRPr="008E4A3D">
        <w:t xml:space="preserve"> 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 xml:space="preserve">La variation de l’énergie potentielle entre A et B : </w:t>
      </w:r>
      <w:r w:rsidRPr="008E4A3D">
        <w:rPr>
          <w:position w:val="-14"/>
        </w:rPr>
        <w:object w:dxaOrig="3920" w:dyaOrig="380">
          <v:shape id="_x0000_i1060" type="#_x0000_t75" style="width:167.15pt;height:16.9pt" o:ole="">
            <v:imagedata r:id="rId83" o:title=""/>
          </v:shape>
          <o:OLEObject Type="Embed" ProgID="Equation.DSMT4" ShapeID="_x0000_i1060" DrawAspect="Content" ObjectID="_1629686450" r:id="rId84"/>
        </w:object>
      </w:r>
      <w:r w:rsidRPr="008E4A3D">
        <w:t xml:space="preserve"> . On en déduit que </w:t>
      </w:r>
      <w:r w:rsidRPr="008E4A3D">
        <w:rPr>
          <w:position w:val="-14"/>
        </w:rPr>
        <w:object w:dxaOrig="5040" w:dyaOrig="420">
          <v:shape id="_x0000_i1061" type="#_x0000_t75" style="width:214.75pt;height:18.8pt" o:ole="">
            <v:imagedata r:id="rId85" o:title=""/>
          </v:shape>
          <o:OLEObject Type="Embed" ProgID="Equation.DSMT4" ShapeID="_x0000_i1061" DrawAspect="Content" ObjectID="_1629686451" r:id="rId86"/>
        </w:objec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 xml:space="preserve">Lorsqu’une charge électrique se déplace d’un point A vers un point B, le travail de la force électrique qui lui est appliquée est égale à la diminution de l’énergie potentielle électrique : </w:t>
      </w:r>
      <w:r w:rsidRPr="008E4A3D">
        <w:rPr>
          <w:position w:val="-14"/>
        </w:rPr>
        <w:object w:dxaOrig="4160" w:dyaOrig="420">
          <v:shape id="_x0000_i1062" type="#_x0000_t75" style="width:177.8pt;height:18.8pt" o:ole="">
            <v:imagedata r:id="rId87" o:title=""/>
          </v:shape>
          <o:OLEObject Type="Embed" ProgID="Equation.DSMT4" ShapeID="_x0000_i1062" DrawAspect="Content" ObjectID="_1629686452" r:id="rId88"/>
        </w:object>
      </w:r>
      <w:r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</w:pPr>
      <w:r w:rsidRPr="008E4A3D">
        <w:t>La variation de l’énergie potentielle électrostatique est indépendante du niveau de référence choisi.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rPr>
          <w:b/>
          <w:bCs/>
        </w:rPr>
        <w:t>Remarque :</w:t>
      </w:r>
      <w:r w:rsidRPr="008E4A3D">
        <w:t xml:space="preserve"> Cette relation reste valable même si le champ électrique n’est pas uniforme.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  <w:color w:val="FF0000"/>
        </w:rPr>
      </w:pPr>
      <w:r w:rsidRPr="008E4A3D">
        <w:rPr>
          <w:b/>
          <w:bCs/>
          <w:color w:val="FF0000"/>
        </w:rPr>
        <w:t>IV- Conservation de l’énergie totale d’une particule chargée soumise à une force électrostatique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Une particule de charge électrique q et de masse m, se déplace dans un champ électrique d’un point A vers un point B.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ab/>
        <w:t>On applique le théorème de la variation de l’énergie cinétique A et B.</w:t>
      </w:r>
    </w:p>
    <w:p w:rsidR="008E4A3D" w:rsidRPr="008E4A3D" w:rsidRDefault="008E4A3D" w:rsidP="008E4A3D">
      <w:pPr>
        <w:rPr>
          <w:color w:val="0000CC"/>
          <w:position w:val="-4"/>
        </w:rPr>
      </w:pPr>
      <w:r w:rsidRPr="008E4A3D">
        <w:rPr>
          <w:position w:val="-14"/>
        </w:rPr>
        <w:object w:dxaOrig="3320" w:dyaOrig="420">
          <v:shape id="_x0000_i1063" type="#_x0000_t75" style="width:141.5pt;height:18.8pt" o:ole="">
            <v:imagedata r:id="rId89" o:title=""/>
          </v:shape>
          <o:OLEObject Type="Embed" ProgID="Equation.DSMT4" ShapeID="_x0000_i1063" DrawAspect="Content" ObjectID="_1629686453" r:id="rId90"/>
        </w:object>
      </w:r>
      <w:r w:rsidRPr="008E4A3D">
        <w:t xml:space="preserve"> on a négligé le poids </w:t>
      </w:r>
      <w:r w:rsidRPr="008E4A3D">
        <w:rPr>
          <w:color w:val="0000CC"/>
          <w:position w:val="-4"/>
        </w:rPr>
        <w:object w:dxaOrig="240" w:dyaOrig="320">
          <v:shape id="_x0000_i1064" type="#_x0000_t75" style="width:12.5pt;height:17.55pt" o:ole="">
            <v:imagedata r:id="rId91" o:title=""/>
          </v:shape>
          <o:OLEObject Type="Embed" ProgID="Equation.DSMT4" ShapeID="_x0000_i1064" DrawAspect="Content" ObjectID="_1629686454" r:id="rId92"/>
        </w:object>
      </w:r>
      <w:r w:rsidRPr="008E4A3D">
        <w:t xml:space="preserve"> de la particule et les forces de frottement devant la force électrique </w:t>
      </w:r>
      <w:r w:rsidRPr="008E4A3D">
        <w:rPr>
          <w:color w:val="0000CC"/>
          <w:position w:val="-4"/>
        </w:rPr>
        <w:object w:dxaOrig="260" w:dyaOrig="320">
          <v:shape id="_x0000_i1065" type="#_x0000_t75" style="width:13.75pt;height:17.55pt" o:ole="">
            <v:imagedata r:id="rId93" o:title=""/>
          </v:shape>
          <o:OLEObject Type="Embed" ProgID="Equation.DSMT4" ShapeID="_x0000_i1065" DrawAspect="Content" ObjectID="_1629686455" r:id="rId94"/>
        </w:object>
      </w:r>
      <w:r w:rsidRPr="008E4A3D">
        <w:rPr>
          <w:color w:val="0000CC"/>
          <w:position w:val="-4"/>
        </w:rPr>
        <w:t>.</w:t>
      </w:r>
    </w:p>
    <w:p w:rsidR="008E4A3D" w:rsidRPr="008E4A3D" w:rsidRDefault="008E4A3D" w:rsidP="008E4A3D">
      <w:pPr>
        <w:tabs>
          <w:tab w:val="left" w:pos="3984"/>
        </w:tabs>
      </w:pPr>
      <w:r w:rsidRPr="008E4A3D">
        <w:t xml:space="preserve">Comme </w:t>
      </w:r>
      <w:r w:rsidRPr="008E4A3D">
        <w:rPr>
          <w:position w:val="-14"/>
        </w:rPr>
        <w:object w:dxaOrig="3200" w:dyaOrig="420">
          <v:shape id="_x0000_i1066" type="#_x0000_t75" style="width:135.85pt;height:18.8pt" o:ole="">
            <v:imagedata r:id="rId95" o:title=""/>
          </v:shape>
          <o:OLEObject Type="Embed" ProgID="Equation.DSMT4" ShapeID="_x0000_i1066" DrawAspect="Content" ObjectID="_1629686456" r:id="rId96"/>
        </w:object>
      </w:r>
      <w:r w:rsidRPr="008E4A3D">
        <w:t xml:space="preserve"> donc </w:t>
      </w:r>
      <w:r w:rsidRPr="008E4A3D">
        <w:rPr>
          <w:position w:val="-14"/>
        </w:rPr>
        <w:object w:dxaOrig="3900" w:dyaOrig="380">
          <v:shape id="_x0000_i1067" type="#_x0000_t75" style="width:165.9pt;height:16.9pt" o:ole="">
            <v:imagedata r:id="rId97" o:title=""/>
          </v:shape>
          <o:OLEObject Type="Embed" ProgID="Equation.DSMT4" ShapeID="_x0000_i1067" DrawAspect="Content" ObjectID="_1629686457" r:id="rId98"/>
        </w:object>
      </w:r>
      <w:r w:rsidRPr="008E4A3D">
        <w:t xml:space="preserve"> d’où </w:t>
      </w:r>
      <w:r w:rsidRPr="008E4A3D">
        <w:rPr>
          <w:position w:val="-14"/>
        </w:rPr>
        <w:object w:dxaOrig="3580" w:dyaOrig="380">
          <v:shape id="_x0000_i1068" type="#_x0000_t75" style="width:152.15pt;height:16.9pt" o:ole="">
            <v:imagedata r:id="rId99" o:title=""/>
          </v:shape>
          <o:OLEObject Type="Embed" ProgID="Equation.DSMT4" ShapeID="_x0000_i1068" DrawAspect="Content" ObjectID="_1629686458" r:id="rId100"/>
        </w:object>
      </w:r>
    </w:p>
    <w:p w:rsidR="008E4A3D" w:rsidRPr="008E4A3D" w:rsidRDefault="008E4A3D" w:rsidP="008E4A3D">
      <w:pPr>
        <w:tabs>
          <w:tab w:val="left" w:pos="3984"/>
        </w:tabs>
        <w:jc w:val="both"/>
      </w:pPr>
      <w:r w:rsidRPr="008E4A3D">
        <w:t xml:space="preserve">La quantité </w:t>
      </w:r>
      <w:r w:rsidRPr="008E4A3D">
        <w:rPr>
          <w:position w:val="-14"/>
        </w:rPr>
        <w:object w:dxaOrig="1359" w:dyaOrig="380">
          <v:shape id="_x0000_i1069" type="#_x0000_t75" style="width:58.25pt;height:16.9pt" o:ole="">
            <v:imagedata r:id="rId101" o:title=""/>
          </v:shape>
          <o:OLEObject Type="Embed" ProgID="Equation.DSMT4" ShapeID="_x0000_i1069" DrawAspect="Content" ObjectID="_1629686459" r:id="rId102"/>
        </w:object>
      </w:r>
      <w:r w:rsidRPr="008E4A3D">
        <w:t xml:space="preserve"> se conserve, on appelle la somme : </w:t>
      </w:r>
      <w:r w:rsidRPr="008E4A3D">
        <w:rPr>
          <w:position w:val="-14"/>
        </w:rPr>
        <w:object w:dxaOrig="1420" w:dyaOrig="380">
          <v:shape id="_x0000_i1070" type="#_x0000_t75" style="width:60.75pt;height:16.9pt" o:ole="">
            <v:imagedata r:id="rId103" o:title=""/>
          </v:shape>
          <o:OLEObject Type="Embed" ProgID="Equation.DSMT4" ShapeID="_x0000_i1070" DrawAspect="Content" ObjectID="_1629686460" r:id="rId104"/>
        </w:object>
      </w:r>
      <w:r w:rsidRPr="008E4A3D">
        <w:t xml:space="preserve"> énergie totale de la particule, on écrit : </w:t>
      </w:r>
      <w:r w:rsidRPr="008E4A3D">
        <w:rPr>
          <w:position w:val="-24"/>
          <w:highlight w:val="lightGray"/>
        </w:rPr>
        <w:object w:dxaOrig="2280" w:dyaOrig="620">
          <v:shape id="_x0000_i1071" type="#_x0000_t75" style="width:97.05pt;height:26.9pt" o:ole="">
            <v:imagedata r:id="rId105" o:title=""/>
          </v:shape>
          <o:OLEObject Type="Embed" ProgID="Equation.DSMT4" ShapeID="_x0000_i1071" DrawAspect="Content" ObjectID="_1629686461" r:id="rId106"/>
        </w:object>
      </w:r>
      <w:r w:rsidRPr="008E4A3D">
        <w:t>.</w:t>
      </w:r>
    </w:p>
    <w:p w:rsidR="008E4A3D" w:rsidRPr="008E4A3D" w:rsidRDefault="008E4A3D" w:rsidP="008E4A3D">
      <w:pPr>
        <w:autoSpaceDE w:val="0"/>
        <w:autoSpaceDN w:val="0"/>
        <w:adjustRightInd w:val="0"/>
        <w:jc w:val="center"/>
        <w:rPr>
          <w:b/>
          <w:bCs/>
          <w:color w:val="0000CC"/>
        </w:rPr>
      </w:pPr>
      <w:r w:rsidRPr="008E4A3D">
        <w:rPr>
          <w:b/>
          <w:bCs/>
          <w:color w:val="0000CC"/>
        </w:rPr>
        <w:t>L’énergie totale d’une particule de charge électrique q soumise à la seule action de la force électrique se conserve.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  <w:color w:val="FF0000"/>
        </w:rPr>
      </w:pPr>
      <w:r w:rsidRPr="008E4A3D">
        <w:rPr>
          <w:b/>
          <w:bCs/>
          <w:color w:val="FF0000"/>
        </w:rPr>
        <w:t>V- L’électron-volt une autre unité d’énergie</w:t>
      </w:r>
    </w:p>
    <w:p w:rsidR="008E4A3D" w:rsidRPr="008E4A3D" w:rsidRDefault="008E4A3D" w:rsidP="008E4A3D">
      <w:pPr>
        <w:autoSpaceDE w:val="0"/>
        <w:autoSpaceDN w:val="0"/>
        <w:adjustRightInd w:val="0"/>
        <w:jc w:val="both"/>
      </w:pPr>
      <w:r w:rsidRPr="008E4A3D">
        <w:t>Le travail de la force électrique appliqué à une charge électrique élémentaire est très petit ; on adopte donc une unité adéquate qui s’appelle : L’électron – volt qu’on note (e.V), e est la charge élémentaire et V pour volt.</w:t>
      </w:r>
    </w:p>
    <w:p w:rsidR="008E4A3D" w:rsidRPr="008E4A3D" w:rsidRDefault="008E4A3D" w:rsidP="008E4A3D">
      <w:pPr>
        <w:tabs>
          <w:tab w:val="left" w:pos="567"/>
        </w:tabs>
        <w:autoSpaceDE w:val="0"/>
        <w:autoSpaceDN w:val="0"/>
        <w:adjustRightInd w:val="0"/>
        <w:jc w:val="both"/>
      </w:pPr>
      <w:r w:rsidRPr="008E4A3D">
        <w:tab/>
        <w:t xml:space="preserve">Selon la relation </w:t>
      </w:r>
      <w:r w:rsidRPr="008E4A3D">
        <w:rPr>
          <w:position w:val="-14"/>
        </w:rPr>
        <w:object w:dxaOrig="2299" w:dyaOrig="420">
          <v:shape id="_x0000_i1072" type="#_x0000_t75" style="width:97.65pt;height:18.8pt" o:ole="">
            <v:imagedata r:id="rId107" o:title=""/>
          </v:shape>
          <o:OLEObject Type="Embed" ProgID="Equation.DSMT4" ShapeID="_x0000_i1072" DrawAspect="Content" ObjectID="_1629686462" r:id="rId108"/>
        </w:object>
      </w:r>
      <w:r w:rsidRPr="008E4A3D">
        <w:t> :</w:t>
      </w:r>
    </w:p>
    <w:p w:rsidR="008E4A3D" w:rsidRPr="008E4A3D" w:rsidRDefault="008E4A3D" w:rsidP="008E4A3D">
      <w:pPr>
        <w:tabs>
          <w:tab w:val="left" w:pos="709"/>
        </w:tabs>
      </w:pPr>
      <w:r w:rsidRPr="008E4A3D">
        <w:tab/>
        <w:t>Si q = e = 1,6 10</w:t>
      </w:r>
      <w:r w:rsidRPr="008E4A3D">
        <w:rPr>
          <w:vertAlign w:val="superscript"/>
        </w:rPr>
        <w:t>-19</w:t>
      </w:r>
      <w:r w:rsidRPr="008E4A3D">
        <w:t xml:space="preserve"> C et V</w:t>
      </w:r>
      <w:r w:rsidRPr="008E4A3D">
        <w:rPr>
          <w:vertAlign w:val="subscript"/>
        </w:rPr>
        <w:t>A</w:t>
      </w:r>
      <w:r w:rsidRPr="008E4A3D">
        <w:t xml:space="preserve"> – V</w:t>
      </w:r>
      <w:r w:rsidRPr="008E4A3D">
        <w:rPr>
          <w:vertAlign w:val="subscript"/>
        </w:rPr>
        <w:t>B</w:t>
      </w:r>
      <w:r w:rsidRPr="008E4A3D">
        <w:t xml:space="preserve"> = 1 V , on trouve W = 1,6 10</w:t>
      </w:r>
      <w:r w:rsidRPr="008E4A3D">
        <w:rPr>
          <w:vertAlign w:val="superscript"/>
        </w:rPr>
        <w:t>-19</w:t>
      </w:r>
      <w:r w:rsidRPr="008E4A3D">
        <w:t>J</w:t>
      </w:r>
    </w:p>
    <w:p w:rsidR="008E4A3D" w:rsidRPr="008E4A3D" w:rsidRDefault="008E4A3D" w:rsidP="008E4A3D">
      <w:pPr>
        <w:tabs>
          <w:tab w:val="left" w:pos="709"/>
        </w:tabs>
      </w:pPr>
      <w:r w:rsidRPr="008E4A3D">
        <w:tab/>
        <w:t>Si q = 1 e  et V</w:t>
      </w:r>
      <w:r w:rsidRPr="008E4A3D">
        <w:rPr>
          <w:vertAlign w:val="subscript"/>
        </w:rPr>
        <w:t>A</w:t>
      </w:r>
      <w:r w:rsidRPr="008E4A3D">
        <w:t xml:space="preserve"> – V</w:t>
      </w:r>
      <w:r w:rsidRPr="008E4A3D">
        <w:rPr>
          <w:vertAlign w:val="subscript"/>
        </w:rPr>
        <w:t>B</w:t>
      </w:r>
      <w:r w:rsidRPr="008E4A3D">
        <w:t xml:space="preserve"> = 1 V , on trouve W = 1 e.V.</w:t>
      </w:r>
    </w:p>
    <w:p w:rsidR="008E4A3D" w:rsidRPr="008E4A3D" w:rsidRDefault="008E4A3D" w:rsidP="008E4A3D">
      <w:pPr>
        <w:tabs>
          <w:tab w:val="left" w:pos="709"/>
        </w:tabs>
        <w:jc w:val="center"/>
      </w:pPr>
      <w:r w:rsidRPr="008E4A3D">
        <w:rPr>
          <w:position w:val="-68"/>
        </w:rPr>
        <w:object w:dxaOrig="3660" w:dyaOrig="1480">
          <v:shape id="_x0000_i1073" type="#_x0000_t75" style="width:155.9pt;height:65.1pt" o:ole="">
            <v:imagedata r:id="rId109" o:title=""/>
          </v:shape>
          <o:OLEObject Type="Embed" ProgID="Equation.DSMT4" ShapeID="_x0000_i1073" DrawAspect="Content" ObjectID="_1629686463" r:id="rId110"/>
        </w:object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  <w:color w:val="FF0000"/>
        </w:rPr>
      </w:pPr>
      <w:r w:rsidRPr="008E4A3D">
        <w:rPr>
          <w:b/>
          <w:bCs/>
          <w:color w:val="FF0000"/>
        </w:rPr>
        <w:t>VI- Récapitulatif des relations entre F, E</w:t>
      </w:r>
      <w:r w:rsidRPr="008E4A3D">
        <w:rPr>
          <w:b/>
          <w:bCs/>
          <w:color w:val="FF0000"/>
          <w:vertAlign w:val="subscript"/>
        </w:rPr>
        <w:t>p</w:t>
      </w:r>
      <w:r w:rsidRPr="008E4A3D">
        <w:rPr>
          <w:b/>
          <w:bCs/>
          <w:color w:val="FF0000"/>
        </w:rPr>
        <w:t>, E, V</w:t>
      </w:r>
    </w:p>
    <w:p w:rsidR="008E4A3D" w:rsidRPr="008E4A3D" w:rsidRDefault="008E4A3D" w:rsidP="008E4A3D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8E4A3D">
        <w:rPr>
          <w:rFonts w:eastAsia="TimesNewRomanPSMT"/>
        </w:rPr>
        <w:t>Une charge q en un point M dans un champ E est soumise à la force F = q .E, Elle possède donc une énergie potentielle. E</w:t>
      </w:r>
      <w:r w:rsidRPr="008E4A3D">
        <w:rPr>
          <w:rFonts w:eastAsia="TimesNewRomanPSMT"/>
          <w:vertAlign w:val="subscript"/>
        </w:rPr>
        <w:t>p</w:t>
      </w:r>
      <w:r w:rsidRPr="008E4A3D">
        <w:rPr>
          <w:rFonts w:eastAsia="TimesNewRomanPSMT"/>
        </w:rPr>
        <w:t xml:space="preserve"> = ∫ F</w:t>
      </w:r>
      <w:r w:rsidRPr="00782D4A">
        <w:rPr>
          <w:rFonts w:ascii="Cambria Math" w:eastAsia="TimesNewRomanPSMT" w:hAnsi="Cambria Math" w:cs="Cambria Math"/>
        </w:rPr>
        <w:t>⋅</w:t>
      </w:r>
      <w:r w:rsidRPr="008E4A3D">
        <w:rPr>
          <w:rFonts w:eastAsia="TimesNewRomanPSMT"/>
        </w:rPr>
        <w:t>dr=q</w:t>
      </w:r>
      <w:r w:rsidRPr="00782D4A">
        <w:rPr>
          <w:rFonts w:ascii="Cambria Math" w:eastAsia="TimesNewRomanPSMT" w:hAnsi="Cambria Math" w:cs="Cambria Math"/>
        </w:rPr>
        <w:t>⋅</w:t>
      </w:r>
      <w:r w:rsidRPr="008E4A3D">
        <w:rPr>
          <w:rFonts w:eastAsia="TimesNewRomanPSMT"/>
        </w:rPr>
        <w:t>∫E</w:t>
      </w:r>
      <w:r w:rsidRPr="00782D4A">
        <w:rPr>
          <w:rFonts w:ascii="Cambria Math" w:eastAsia="TimesNewRomanPSMT" w:hAnsi="Cambria Math" w:cs="Cambria Math"/>
        </w:rPr>
        <w:t>⋅</w:t>
      </w:r>
      <w:r w:rsidRPr="008E4A3D">
        <w:rPr>
          <w:rFonts w:eastAsia="TimesNewRomanPSMT"/>
        </w:rPr>
        <w:t>dr=q.V.</w:t>
      </w:r>
    </w:p>
    <w:p w:rsidR="008E4A3D" w:rsidRPr="008E4A3D" w:rsidRDefault="00541416" w:rsidP="008E4A3D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4070985" cy="1311910"/>
            <wp:effectExtent l="0" t="0" r="5715" b="2540"/>
            <wp:docPr id="5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3D" w:rsidRPr="008E4A3D" w:rsidRDefault="008E4A3D" w:rsidP="008E4A3D">
      <w:pPr>
        <w:autoSpaceDE w:val="0"/>
        <w:autoSpaceDN w:val="0"/>
        <w:adjustRightInd w:val="0"/>
        <w:jc w:val="both"/>
        <w:rPr>
          <w:b/>
          <w:bCs/>
          <w:color w:val="FF0000"/>
        </w:rPr>
      </w:pPr>
      <w:r w:rsidRPr="008E4A3D">
        <w:rPr>
          <w:b/>
          <w:bCs/>
          <w:color w:val="FF0000"/>
        </w:rPr>
        <w:t>VII- Application</w:t>
      </w:r>
    </w:p>
    <w:p w:rsidR="0053472C" w:rsidRPr="00187760" w:rsidRDefault="0053472C" w:rsidP="008E4A3D">
      <w:pPr>
        <w:rPr>
          <w:b/>
          <w:bCs/>
          <w:color w:val="FF0000"/>
          <w:sz w:val="28"/>
          <w:szCs w:val="28"/>
        </w:rPr>
      </w:pPr>
    </w:p>
    <w:sectPr w:rsidR="0053472C" w:rsidRPr="00187760" w:rsidSect="006070D1">
      <w:headerReference w:type="default" r:id="rId112"/>
      <w:footerReference w:type="default" r:id="rId113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9BB" w:rsidRDefault="00DE19BB">
      <w:r>
        <w:separator/>
      </w:r>
    </w:p>
  </w:endnote>
  <w:endnote w:type="continuationSeparator" w:id="0">
    <w:p w:rsidR="00DE19BB" w:rsidRDefault="00DE1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76" w:rsidRDefault="002B0136" w:rsidP="00A9424E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spacing w:before="240"/>
      <w:rPr>
        <w:rFonts w:hint="cs"/>
        <w:rtl/>
        <w:lang w:bidi="ar-MA"/>
      </w:rPr>
    </w:pPr>
    <w:r w:rsidRPr="00CC2CA7">
      <w:rPr>
        <w:color w:val="0000CC"/>
        <w:sz w:val="22"/>
        <w:szCs w:val="22"/>
        <w:lang w:val="en-US"/>
      </w:rPr>
      <w:t>d</w:t>
    </w:r>
    <w:r w:rsidR="00A9424E">
      <w:rPr>
        <w:color w:val="0000CC"/>
        <w:sz w:val="22"/>
        <w:szCs w:val="22"/>
        <w:lang w:val="en-US"/>
      </w:rPr>
      <w:t>ataelouardi</w:t>
    </w:r>
    <w:r w:rsidRPr="00CC2CA7">
      <w:rPr>
        <w:color w:val="0000CC"/>
        <w:sz w:val="22"/>
        <w:szCs w:val="22"/>
        <w:lang w:val="en-US"/>
      </w:rPr>
      <w:t>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DE19BB" w:rsidRPr="00DE19BB">
      <w:rPr>
        <w:noProof/>
        <w:lang w:val="en-US"/>
      </w:rPr>
      <w:t>1</w:t>
    </w:r>
    <w:r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>Prof m.elouardi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9BB" w:rsidRDefault="00DE19BB">
      <w:r>
        <w:separator/>
      </w:r>
    </w:p>
  </w:footnote>
  <w:footnote w:type="continuationSeparator" w:id="0">
    <w:p w:rsidR="00DE19BB" w:rsidRDefault="00DE19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175" w:rsidRPr="00A9424E" w:rsidRDefault="00A9424E" w:rsidP="00A9424E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5529"/>
        <w:tab w:val="right" w:pos="10620"/>
      </w:tabs>
      <w:spacing w:after="240"/>
      <w:jc w:val="both"/>
      <w:rPr>
        <w:rFonts w:hint="cs"/>
        <w:color w:val="0000CC"/>
        <w:sz w:val="20"/>
        <w:szCs w:val="20"/>
        <w:rtl/>
        <w:lang w:bidi="ar-MA"/>
      </w:rPr>
    </w:pPr>
    <w:r w:rsidRPr="0068074C">
      <w:rPr>
        <w:color w:val="0000CC"/>
        <w:sz w:val="20"/>
        <w:szCs w:val="22"/>
        <w:shd w:val="clear" w:color="auto" w:fill="DDD9C3"/>
      </w:rPr>
      <w:t>Lycée Mohamed belhassan elouazani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  <w:lang w:bidi="ar-MA"/>
      </w:rPr>
      <w:t>Direction de Safi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1.25pt;height:11.25pt" o:bullet="t">
        <v:imagedata r:id="rId1" o:title="msoBF97"/>
      </v:shape>
    </w:pict>
  </w:numPicBullet>
  <w:numPicBullet w:numPicBulletId="1">
    <w:pict>
      <v:shape id="_x0000_i1132" type="#_x0000_t75" style="width:11.25pt;height:11.25pt" o:bullet="t">
        <v:imagedata r:id="rId2" o:title="BD10253_"/>
        <o:lock v:ext="edit" cropping="t"/>
      </v:shape>
    </w:pict>
  </w:numPicBullet>
  <w:numPicBullet w:numPicBulletId="2">
    <w:pict>
      <v:shape id="_x0000_i1133" type="#_x0000_t75" style="width:8.75pt;height:8.75pt" o:bullet="t">
        <v:imagedata r:id="rId3" o:title="BD10255_"/>
      </v:shape>
    </w:pict>
  </w:numPicBullet>
  <w:abstractNum w:abstractNumId="0">
    <w:nsid w:val="0E2F5FE7"/>
    <w:multiLevelType w:val="hybridMultilevel"/>
    <w:tmpl w:val="B5760C9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63E04"/>
    <w:multiLevelType w:val="hybridMultilevel"/>
    <w:tmpl w:val="A1E8DD2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36CD1"/>
    <w:multiLevelType w:val="hybridMultilevel"/>
    <w:tmpl w:val="A8EE25C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B79B8"/>
    <w:multiLevelType w:val="multilevel"/>
    <w:tmpl w:val="B292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73130A"/>
    <w:multiLevelType w:val="hybridMultilevel"/>
    <w:tmpl w:val="0ED41608"/>
    <w:lvl w:ilvl="0" w:tplc="8A7E9B7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9763D2"/>
    <w:multiLevelType w:val="hybridMultilevel"/>
    <w:tmpl w:val="623AD4E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C22AE"/>
    <w:multiLevelType w:val="hybridMultilevel"/>
    <w:tmpl w:val="2CB22A9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35BB8"/>
    <w:multiLevelType w:val="hybridMultilevel"/>
    <w:tmpl w:val="D10C5A7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587841"/>
    <w:multiLevelType w:val="hybridMultilevel"/>
    <w:tmpl w:val="82405C8C"/>
    <w:lvl w:ilvl="0" w:tplc="818682E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C3570"/>
    <w:multiLevelType w:val="hybridMultilevel"/>
    <w:tmpl w:val="A926A240"/>
    <w:lvl w:ilvl="0" w:tplc="C82E12C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071D46"/>
    <w:multiLevelType w:val="hybridMultilevel"/>
    <w:tmpl w:val="6D4C5A0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195891"/>
    <w:multiLevelType w:val="hybridMultilevel"/>
    <w:tmpl w:val="DF8ECF5A"/>
    <w:lvl w:ilvl="0" w:tplc="C82E12C8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5327480C"/>
    <w:multiLevelType w:val="hybridMultilevel"/>
    <w:tmpl w:val="4D5420E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61106253"/>
    <w:multiLevelType w:val="hybridMultilevel"/>
    <w:tmpl w:val="9FD8CAA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EB6517"/>
    <w:multiLevelType w:val="hybridMultilevel"/>
    <w:tmpl w:val="CC30CD5A"/>
    <w:lvl w:ilvl="0" w:tplc="C82E12C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27259B"/>
    <w:multiLevelType w:val="hybridMultilevel"/>
    <w:tmpl w:val="E7089A9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A5403E"/>
    <w:multiLevelType w:val="hybridMultilevel"/>
    <w:tmpl w:val="6B227E40"/>
    <w:lvl w:ilvl="0" w:tplc="040C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0F6885"/>
    <w:multiLevelType w:val="multilevel"/>
    <w:tmpl w:val="F5F6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8"/>
  </w:num>
  <w:num w:numId="4">
    <w:abstractNumId w:val="12"/>
  </w:num>
  <w:num w:numId="5">
    <w:abstractNumId w:val="0"/>
  </w:num>
  <w:num w:numId="6">
    <w:abstractNumId w:val="6"/>
  </w:num>
  <w:num w:numId="7">
    <w:abstractNumId w:val="2"/>
  </w:num>
  <w:num w:numId="8">
    <w:abstractNumId w:val="1"/>
  </w:num>
  <w:num w:numId="9">
    <w:abstractNumId w:val="16"/>
  </w:num>
  <w:num w:numId="10">
    <w:abstractNumId w:val="4"/>
  </w:num>
  <w:num w:numId="11">
    <w:abstractNumId w:val="5"/>
  </w:num>
  <w:num w:numId="12">
    <w:abstractNumId w:val="8"/>
  </w:num>
  <w:num w:numId="13">
    <w:abstractNumId w:val="17"/>
  </w:num>
  <w:num w:numId="14">
    <w:abstractNumId w:val="7"/>
  </w:num>
  <w:num w:numId="15">
    <w:abstractNumId w:val="11"/>
  </w:num>
  <w:num w:numId="16">
    <w:abstractNumId w:val="10"/>
  </w:num>
  <w:num w:numId="17">
    <w:abstractNumId w:val="15"/>
  </w:num>
  <w:num w:numId="18">
    <w:abstractNumId w:val="14"/>
  </w:num>
  <w:num w:numId="1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>
      <o:colormru v:ext="edit" colors="#00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B1"/>
    <w:rsid w:val="00010509"/>
    <w:rsid w:val="00013084"/>
    <w:rsid w:val="00014F11"/>
    <w:rsid w:val="00020DB3"/>
    <w:rsid w:val="000314C6"/>
    <w:rsid w:val="00032A6A"/>
    <w:rsid w:val="000362FC"/>
    <w:rsid w:val="000400A7"/>
    <w:rsid w:val="0004671B"/>
    <w:rsid w:val="00052650"/>
    <w:rsid w:val="00054372"/>
    <w:rsid w:val="00054940"/>
    <w:rsid w:val="000566FF"/>
    <w:rsid w:val="00057D10"/>
    <w:rsid w:val="00066D16"/>
    <w:rsid w:val="00067054"/>
    <w:rsid w:val="00070125"/>
    <w:rsid w:val="00070E35"/>
    <w:rsid w:val="000711ED"/>
    <w:rsid w:val="00071AA2"/>
    <w:rsid w:val="0007281A"/>
    <w:rsid w:val="00085F96"/>
    <w:rsid w:val="00095142"/>
    <w:rsid w:val="00096382"/>
    <w:rsid w:val="00096CA7"/>
    <w:rsid w:val="00096CE7"/>
    <w:rsid w:val="00096EF2"/>
    <w:rsid w:val="00097492"/>
    <w:rsid w:val="000A0165"/>
    <w:rsid w:val="000A3A59"/>
    <w:rsid w:val="000A3E7B"/>
    <w:rsid w:val="000A5063"/>
    <w:rsid w:val="000A6B15"/>
    <w:rsid w:val="000B403E"/>
    <w:rsid w:val="000C18FB"/>
    <w:rsid w:val="000C1ABA"/>
    <w:rsid w:val="000C2DB0"/>
    <w:rsid w:val="000D2CF2"/>
    <w:rsid w:val="000D4930"/>
    <w:rsid w:val="000D7B6E"/>
    <w:rsid w:val="000E1B61"/>
    <w:rsid w:val="000E3E04"/>
    <w:rsid w:val="000F174F"/>
    <w:rsid w:val="000F4074"/>
    <w:rsid w:val="0010026F"/>
    <w:rsid w:val="001006CE"/>
    <w:rsid w:val="00102749"/>
    <w:rsid w:val="001028A1"/>
    <w:rsid w:val="00106849"/>
    <w:rsid w:val="00111AC6"/>
    <w:rsid w:val="00113531"/>
    <w:rsid w:val="00115D4B"/>
    <w:rsid w:val="00117607"/>
    <w:rsid w:val="00124717"/>
    <w:rsid w:val="0012501D"/>
    <w:rsid w:val="001251CD"/>
    <w:rsid w:val="00132C10"/>
    <w:rsid w:val="00132E62"/>
    <w:rsid w:val="001357A3"/>
    <w:rsid w:val="001435F5"/>
    <w:rsid w:val="001539E3"/>
    <w:rsid w:val="001552BB"/>
    <w:rsid w:val="00161EDC"/>
    <w:rsid w:val="001624A1"/>
    <w:rsid w:val="001675CA"/>
    <w:rsid w:val="00167780"/>
    <w:rsid w:val="00174E33"/>
    <w:rsid w:val="0017696B"/>
    <w:rsid w:val="0017765A"/>
    <w:rsid w:val="001807BE"/>
    <w:rsid w:val="001809E4"/>
    <w:rsid w:val="00180D08"/>
    <w:rsid w:val="00181BA4"/>
    <w:rsid w:val="00183F92"/>
    <w:rsid w:val="0018522B"/>
    <w:rsid w:val="00187760"/>
    <w:rsid w:val="00187994"/>
    <w:rsid w:val="00191F5C"/>
    <w:rsid w:val="001957B2"/>
    <w:rsid w:val="00195C01"/>
    <w:rsid w:val="001B0888"/>
    <w:rsid w:val="001B216E"/>
    <w:rsid w:val="001B2F76"/>
    <w:rsid w:val="001C0887"/>
    <w:rsid w:val="001C16F7"/>
    <w:rsid w:val="001C4CAF"/>
    <w:rsid w:val="001C4F4E"/>
    <w:rsid w:val="001C5499"/>
    <w:rsid w:val="001C5B45"/>
    <w:rsid w:val="001C608E"/>
    <w:rsid w:val="001D35B4"/>
    <w:rsid w:val="001D7E3F"/>
    <w:rsid w:val="001E02BB"/>
    <w:rsid w:val="001E4E10"/>
    <w:rsid w:val="001F2E7B"/>
    <w:rsid w:val="001F5527"/>
    <w:rsid w:val="001F7546"/>
    <w:rsid w:val="001F7C3E"/>
    <w:rsid w:val="002036A6"/>
    <w:rsid w:val="00204053"/>
    <w:rsid w:val="00206FB1"/>
    <w:rsid w:val="00215C66"/>
    <w:rsid w:val="00220F92"/>
    <w:rsid w:val="002251B7"/>
    <w:rsid w:val="00227212"/>
    <w:rsid w:val="0023034D"/>
    <w:rsid w:val="002306AB"/>
    <w:rsid w:val="00231CD2"/>
    <w:rsid w:val="00231FE5"/>
    <w:rsid w:val="00233E04"/>
    <w:rsid w:val="00233EB2"/>
    <w:rsid w:val="00235975"/>
    <w:rsid w:val="00240E43"/>
    <w:rsid w:val="00246DEE"/>
    <w:rsid w:val="00251962"/>
    <w:rsid w:val="002547A2"/>
    <w:rsid w:val="00254BCA"/>
    <w:rsid w:val="002617B5"/>
    <w:rsid w:val="00262B12"/>
    <w:rsid w:val="00263A7B"/>
    <w:rsid w:val="0026547F"/>
    <w:rsid w:val="002671BE"/>
    <w:rsid w:val="0026739C"/>
    <w:rsid w:val="00271920"/>
    <w:rsid w:val="00272129"/>
    <w:rsid w:val="00275DF0"/>
    <w:rsid w:val="00280171"/>
    <w:rsid w:val="002805F4"/>
    <w:rsid w:val="0028157D"/>
    <w:rsid w:val="00286809"/>
    <w:rsid w:val="002874D4"/>
    <w:rsid w:val="00291A0B"/>
    <w:rsid w:val="00293DA5"/>
    <w:rsid w:val="00296A92"/>
    <w:rsid w:val="0029758D"/>
    <w:rsid w:val="00297F1B"/>
    <w:rsid w:val="002A2794"/>
    <w:rsid w:val="002A5B47"/>
    <w:rsid w:val="002A727E"/>
    <w:rsid w:val="002B0136"/>
    <w:rsid w:val="002B234D"/>
    <w:rsid w:val="002B686D"/>
    <w:rsid w:val="002D01AE"/>
    <w:rsid w:val="002D503D"/>
    <w:rsid w:val="002D795B"/>
    <w:rsid w:val="002E095E"/>
    <w:rsid w:val="002E1373"/>
    <w:rsid w:val="002E379B"/>
    <w:rsid w:val="002E4223"/>
    <w:rsid w:val="002E42B0"/>
    <w:rsid w:val="002F1AC4"/>
    <w:rsid w:val="002F6FA4"/>
    <w:rsid w:val="00303BE6"/>
    <w:rsid w:val="00306B90"/>
    <w:rsid w:val="003103D9"/>
    <w:rsid w:val="003112C7"/>
    <w:rsid w:val="00317F41"/>
    <w:rsid w:val="00322A11"/>
    <w:rsid w:val="00323F44"/>
    <w:rsid w:val="0033068E"/>
    <w:rsid w:val="00331F99"/>
    <w:rsid w:val="00340342"/>
    <w:rsid w:val="003404CC"/>
    <w:rsid w:val="00342BE1"/>
    <w:rsid w:val="00343AB5"/>
    <w:rsid w:val="0034475F"/>
    <w:rsid w:val="00344C97"/>
    <w:rsid w:val="003465E2"/>
    <w:rsid w:val="00346BF0"/>
    <w:rsid w:val="0035067B"/>
    <w:rsid w:val="0035091F"/>
    <w:rsid w:val="00351D14"/>
    <w:rsid w:val="003531FA"/>
    <w:rsid w:val="003547E6"/>
    <w:rsid w:val="0036483A"/>
    <w:rsid w:val="00367774"/>
    <w:rsid w:val="00373159"/>
    <w:rsid w:val="00376358"/>
    <w:rsid w:val="00376945"/>
    <w:rsid w:val="00377D06"/>
    <w:rsid w:val="003802BB"/>
    <w:rsid w:val="00385E2C"/>
    <w:rsid w:val="00386B46"/>
    <w:rsid w:val="00386B48"/>
    <w:rsid w:val="00390E1D"/>
    <w:rsid w:val="00395D09"/>
    <w:rsid w:val="003977AC"/>
    <w:rsid w:val="003A0EC0"/>
    <w:rsid w:val="003A6790"/>
    <w:rsid w:val="003B0948"/>
    <w:rsid w:val="003B1B15"/>
    <w:rsid w:val="003C0280"/>
    <w:rsid w:val="003C22FE"/>
    <w:rsid w:val="003C32F5"/>
    <w:rsid w:val="003C7006"/>
    <w:rsid w:val="003C7510"/>
    <w:rsid w:val="003D1F7A"/>
    <w:rsid w:val="003D57ED"/>
    <w:rsid w:val="003D638E"/>
    <w:rsid w:val="003E24EB"/>
    <w:rsid w:val="003E59AD"/>
    <w:rsid w:val="003E7B83"/>
    <w:rsid w:val="003F3A36"/>
    <w:rsid w:val="004031BE"/>
    <w:rsid w:val="00403C3E"/>
    <w:rsid w:val="00404DD5"/>
    <w:rsid w:val="00404E54"/>
    <w:rsid w:val="004074C9"/>
    <w:rsid w:val="004133D3"/>
    <w:rsid w:val="0041497B"/>
    <w:rsid w:val="004209B2"/>
    <w:rsid w:val="00421FB2"/>
    <w:rsid w:val="00422D53"/>
    <w:rsid w:val="00427851"/>
    <w:rsid w:val="00427A46"/>
    <w:rsid w:val="00434BCB"/>
    <w:rsid w:val="00440E7F"/>
    <w:rsid w:val="004417AE"/>
    <w:rsid w:val="00442870"/>
    <w:rsid w:val="00442D81"/>
    <w:rsid w:val="00444C8A"/>
    <w:rsid w:val="00445431"/>
    <w:rsid w:val="00457A2D"/>
    <w:rsid w:val="00462D2C"/>
    <w:rsid w:val="0046328E"/>
    <w:rsid w:val="00463EEB"/>
    <w:rsid w:val="0046481E"/>
    <w:rsid w:val="00466BF8"/>
    <w:rsid w:val="00480E40"/>
    <w:rsid w:val="0048146F"/>
    <w:rsid w:val="00482175"/>
    <w:rsid w:val="00490956"/>
    <w:rsid w:val="004954D8"/>
    <w:rsid w:val="004A37B9"/>
    <w:rsid w:val="004A5DE5"/>
    <w:rsid w:val="004A682E"/>
    <w:rsid w:val="004A6AA0"/>
    <w:rsid w:val="004A70B1"/>
    <w:rsid w:val="004A7924"/>
    <w:rsid w:val="004A79E8"/>
    <w:rsid w:val="004C16FF"/>
    <w:rsid w:val="004C3040"/>
    <w:rsid w:val="004C3637"/>
    <w:rsid w:val="004C3C2C"/>
    <w:rsid w:val="004C3DC2"/>
    <w:rsid w:val="004C56A3"/>
    <w:rsid w:val="004D1187"/>
    <w:rsid w:val="004D4B3E"/>
    <w:rsid w:val="004D6A91"/>
    <w:rsid w:val="004E1CB8"/>
    <w:rsid w:val="004E5F35"/>
    <w:rsid w:val="004F0292"/>
    <w:rsid w:val="004F6E45"/>
    <w:rsid w:val="004F70C7"/>
    <w:rsid w:val="00500DB1"/>
    <w:rsid w:val="00500DD2"/>
    <w:rsid w:val="00504046"/>
    <w:rsid w:val="00504A2F"/>
    <w:rsid w:val="00510AED"/>
    <w:rsid w:val="005125CD"/>
    <w:rsid w:val="00514F8C"/>
    <w:rsid w:val="00520138"/>
    <w:rsid w:val="005202A3"/>
    <w:rsid w:val="00530498"/>
    <w:rsid w:val="0053268E"/>
    <w:rsid w:val="0053472C"/>
    <w:rsid w:val="0053495D"/>
    <w:rsid w:val="005352E2"/>
    <w:rsid w:val="00535A49"/>
    <w:rsid w:val="00535F74"/>
    <w:rsid w:val="00541416"/>
    <w:rsid w:val="00547DF8"/>
    <w:rsid w:val="00550123"/>
    <w:rsid w:val="005540FB"/>
    <w:rsid w:val="005611A7"/>
    <w:rsid w:val="0056595B"/>
    <w:rsid w:val="005749C4"/>
    <w:rsid w:val="00575D4F"/>
    <w:rsid w:val="0057674B"/>
    <w:rsid w:val="005768D7"/>
    <w:rsid w:val="00580D60"/>
    <w:rsid w:val="00581460"/>
    <w:rsid w:val="0058239D"/>
    <w:rsid w:val="0058269D"/>
    <w:rsid w:val="00585660"/>
    <w:rsid w:val="005872F6"/>
    <w:rsid w:val="005925D7"/>
    <w:rsid w:val="00593900"/>
    <w:rsid w:val="00594A2E"/>
    <w:rsid w:val="00596454"/>
    <w:rsid w:val="00596E55"/>
    <w:rsid w:val="005A58C6"/>
    <w:rsid w:val="005A6FBD"/>
    <w:rsid w:val="005B1458"/>
    <w:rsid w:val="005B1B83"/>
    <w:rsid w:val="005B2310"/>
    <w:rsid w:val="005B323B"/>
    <w:rsid w:val="005B754D"/>
    <w:rsid w:val="005B7F14"/>
    <w:rsid w:val="005C368D"/>
    <w:rsid w:val="005C4757"/>
    <w:rsid w:val="005C6E76"/>
    <w:rsid w:val="005D1364"/>
    <w:rsid w:val="005D3458"/>
    <w:rsid w:val="005D4A49"/>
    <w:rsid w:val="005D797E"/>
    <w:rsid w:val="005E0D0F"/>
    <w:rsid w:val="005E56D9"/>
    <w:rsid w:val="005E64E0"/>
    <w:rsid w:val="005E7564"/>
    <w:rsid w:val="005F5F7C"/>
    <w:rsid w:val="005F70FC"/>
    <w:rsid w:val="005F7956"/>
    <w:rsid w:val="006008F9"/>
    <w:rsid w:val="00605E63"/>
    <w:rsid w:val="00606776"/>
    <w:rsid w:val="006070D1"/>
    <w:rsid w:val="00611D12"/>
    <w:rsid w:val="00615DC3"/>
    <w:rsid w:val="00616D51"/>
    <w:rsid w:val="00617C80"/>
    <w:rsid w:val="00626BA2"/>
    <w:rsid w:val="006355B7"/>
    <w:rsid w:val="006408E6"/>
    <w:rsid w:val="00642CB6"/>
    <w:rsid w:val="00643F8A"/>
    <w:rsid w:val="00650EDA"/>
    <w:rsid w:val="006516EB"/>
    <w:rsid w:val="0065207B"/>
    <w:rsid w:val="00655C74"/>
    <w:rsid w:val="006573C4"/>
    <w:rsid w:val="00664124"/>
    <w:rsid w:val="006676E9"/>
    <w:rsid w:val="00667B9D"/>
    <w:rsid w:val="00672020"/>
    <w:rsid w:val="00673BC5"/>
    <w:rsid w:val="0068074C"/>
    <w:rsid w:val="00681F20"/>
    <w:rsid w:val="006840AA"/>
    <w:rsid w:val="00684910"/>
    <w:rsid w:val="00684F17"/>
    <w:rsid w:val="00685C7A"/>
    <w:rsid w:val="00690F49"/>
    <w:rsid w:val="00691007"/>
    <w:rsid w:val="00693D08"/>
    <w:rsid w:val="006963C6"/>
    <w:rsid w:val="006A580A"/>
    <w:rsid w:val="006A682C"/>
    <w:rsid w:val="006A797E"/>
    <w:rsid w:val="006B2623"/>
    <w:rsid w:val="006B3BA0"/>
    <w:rsid w:val="006B5B07"/>
    <w:rsid w:val="006B6D6D"/>
    <w:rsid w:val="006C02EC"/>
    <w:rsid w:val="006C092E"/>
    <w:rsid w:val="006C6CE0"/>
    <w:rsid w:val="006D02D4"/>
    <w:rsid w:val="006D4D29"/>
    <w:rsid w:val="006D667E"/>
    <w:rsid w:val="006D7007"/>
    <w:rsid w:val="006E43C9"/>
    <w:rsid w:val="006E64DD"/>
    <w:rsid w:val="006F78E4"/>
    <w:rsid w:val="00701008"/>
    <w:rsid w:val="007014CB"/>
    <w:rsid w:val="00701AE3"/>
    <w:rsid w:val="007022B3"/>
    <w:rsid w:val="0070350A"/>
    <w:rsid w:val="00704960"/>
    <w:rsid w:val="007055BD"/>
    <w:rsid w:val="00705738"/>
    <w:rsid w:val="00707199"/>
    <w:rsid w:val="007110AB"/>
    <w:rsid w:val="00712AB7"/>
    <w:rsid w:val="00714535"/>
    <w:rsid w:val="007207E0"/>
    <w:rsid w:val="007221B2"/>
    <w:rsid w:val="00725C7D"/>
    <w:rsid w:val="007275AA"/>
    <w:rsid w:val="007333C7"/>
    <w:rsid w:val="00733C64"/>
    <w:rsid w:val="00734701"/>
    <w:rsid w:val="0073493B"/>
    <w:rsid w:val="00740F27"/>
    <w:rsid w:val="00751D96"/>
    <w:rsid w:val="007535BB"/>
    <w:rsid w:val="00756412"/>
    <w:rsid w:val="007608FD"/>
    <w:rsid w:val="007715B3"/>
    <w:rsid w:val="0077274D"/>
    <w:rsid w:val="00773FCC"/>
    <w:rsid w:val="00784F93"/>
    <w:rsid w:val="007854ED"/>
    <w:rsid w:val="00790F00"/>
    <w:rsid w:val="007959CD"/>
    <w:rsid w:val="007A0C9A"/>
    <w:rsid w:val="007A47D8"/>
    <w:rsid w:val="007A4D9F"/>
    <w:rsid w:val="007A509C"/>
    <w:rsid w:val="007A721F"/>
    <w:rsid w:val="007A7999"/>
    <w:rsid w:val="007B161F"/>
    <w:rsid w:val="007B4403"/>
    <w:rsid w:val="007B6166"/>
    <w:rsid w:val="007C1151"/>
    <w:rsid w:val="007C1445"/>
    <w:rsid w:val="007C4E54"/>
    <w:rsid w:val="007C688B"/>
    <w:rsid w:val="007D3BCB"/>
    <w:rsid w:val="007D7519"/>
    <w:rsid w:val="007D7AFF"/>
    <w:rsid w:val="007E3C76"/>
    <w:rsid w:val="007E3ED2"/>
    <w:rsid w:val="007E5243"/>
    <w:rsid w:val="007E6D3E"/>
    <w:rsid w:val="007E71C2"/>
    <w:rsid w:val="007E73EF"/>
    <w:rsid w:val="007F50DE"/>
    <w:rsid w:val="007F5637"/>
    <w:rsid w:val="007F7992"/>
    <w:rsid w:val="007F79A0"/>
    <w:rsid w:val="008039C4"/>
    <w:rsid w:val="00805FC0"/>
    <w:rsid w:val="00807504"/>
    <w:rsid w:val="00807B6B"/>
    <w:rsid w:val="00810B02"/>
    <w:rsid w:val="008116F7"/>
    <w:rsid w:val="00820789"/>
    <w:rsid w:val="008212C1"/>
    <w:rsid w:val="008223ED"/>
    <w:rsid w:val="00822BC6"/>
    <w:rsid w:val="00835B7E"/>
    <w:rsid w:val="00844FA8"/>
    <w:rsid w:val="0084538C"/>
    <w:rsid w:val="00850C93"/>
    <w:rsid w:val="00852177"/>
    <w:rsid w:val="008535A3"/>
    <w:rsid w:val="0085540E"/>
    <w:rsid w:val="0085648D"/>
    <w:rsid w:val="0085714C"/>
    <w:rsid w:val="008602E8"/>
    <w:rsid w:val="008619C9"/>
    <w:rsid w:val="00861AAA"/>
    <w:rsid w:val="0086223D"/>
    <w:rsid w:val="00862666"/>
    <w:rsid w:val="00862762"/>
    <w:rsid w:val="00865BDB"/>
    <w:rsid w:val="0087376E"/>
    <w:rsid w:val="008740FB"/>
    <w:rsid w:val="008800A2"/>
    <w:rsid w:val="00880EFD"/>
    <w:rsid w:val="00882841"/>
    <w:rsid w:val="008834C0"/>
    <w:rsid w:val="0088452A"/>
    <w:rsid w:val="008872AB"/>
    <w:rsid w:val="00890DA9"/>
    <w:rsid w:val="008926C5"/>
    <w:rsid w:val="00893459"/>
    <w:rsid w:val="008941FA"/>
    <w:rsid w:val="0089587B"/>
    <w:rsid w:val="008A14D2"/>
    <w:rsid w:val="008A49F2"/>
    <w:rsid w:val="008B3016"/>
    <w:rsid w:val="008B301D"/>
    <w:rsid w:val="008B3D04"/>
    <w:rsid w:val="008D28EB"/>
    <w:rsid w:val="008D3CAF"/>
    <w:rsid w:val="008D590C"/>
    <w:rsid w:val="008E3F59"/>
    <w:rsid w:val="008E4A3D"/>
    <w:rsid w:val="008E4B43"/>
    <w:rsid w:val="008E7109"/>
    <w:rsid w:val="008E7F5C"/>
    <w:rsid w:val="008F0413"/>
    <w:rsid w:val="008F17B6"/>
    <w:rsid w:val="008F316F"/>
    <w:rsid w:val="008F42F7"/>
    <w:rsid w:val="008F5F8D"/>
    <w:rsid w:val="008F7F0E"/>
    <w:rsid w:val="009018BF"/>
    <w:rsid w:val="00904561"/>
    <w:rsid w:val="0090673F"/>
    <w:rsid w:val="00906871"/>
    <w:rsid w:val="00906FED"/>
    <w:rsid w:val="00911B88"/>
    <w:rsid w:val="00912F3A"/>
    <w:rsid w:val="00913F38"/>
    <w:rsid w:val="00916455"/>
    <w:rsid w:val="009268D8"/>
    <w:rsid w:val="00937AB5"/>
    <w:rsid w:val="00942E53"/>
    <w:rsid w:val="00944DF4"/>
    <w:rsid w:val="00950D86"/>
    <w:rsid w:val="0095235A"/>
    <w:rsid w:val="00953002"/>
    <w:rsid w:val="00954554"/>
    <w:rsid w:val="0095565B"/>
    <w:rsid w:val="00956598"/>
    <w:rsid w:val="00956E4D"/>
    <w:rsid w:val="009574E2"/>
    <w:rsid w:val="00957CE8"/>
    <w:rsid w:val="009639FA"/>
    <w:rsid w:val="00971D05"/>
    <w:rsid w:val="00972626"/>
    <w:rsid w:val="00973818"/>
    <w:rsid w:val="00974982"/>
    <w:rsid w:val="00974CD3"/>
    <w:rsid w:val="00974F03"/>
    <w:rsid w:val="00975181"/>
    <w:rsid w:val="00976A10"/>
    <w:rsid w:val="00977219"/>
    <w:rsid w:val="009822E6"/>
    <w:rsid w:val="00986432"/>
    <w:rsid w:val="009906D0"/>
    <w:rsid w:val="00991A76"/>
    <w:rsid w:val="009A0106"/>
    <w:rsid w:val="009A1010"/>
    <w:rsid w:val="009A2714"/>
    <w:rsid w:val="009A2E00"/>
    <w:rsid w:val="009A541F"/>
    <w:rsid w:val="009A571B"/>
    <w:rsid w:val="009A7338"/>
    <w:rsid w:val="009B2E02"/>
    <w:rsid w:val="009B3E11"/>
    <w:rsid w:val="009B6497"/>
    <w:rsid w:val="009C50AB"/>
    <w:rsid w:val="009C6295"/>
    <w:rsid w:val="009C78A7"/>
    <w:rsid w:val="009D0E57"/>
    <w:rsid w:val="009D214A"/>
    <w:rsid w:val="009D3328"/>
    <w:rsid w:val="009D4923"/>
    <w:rsid w:val="009E13FE"/>
    <w:rsid w:val="009E3BDB"/>
    <w:rsid w:val="009E4D85"/>
    <w:rsid w:val="009E570E"/>
    <w:rsid w:val="009E6CDA"/>
    <w:rsid w:val="009F22AF"/>
    <w:rsid w:val="009F34CD"/>
    <w:rsid w:val="009F36B2"/>
    <w:rsid w:val="009F49C7"/>
    <w:rsid w:val="009F5EB1"/>
    <w:rsid w:val="009F79B6"/>
    <w:rsid w:val="009F7A49"/>
    <w:rsid w:val="00A00AA7"/>
    <w:rsid w:val="00A02523"/>
    <w:rsid w:val="00A04035"/>
    <w:rsid w:val="00A06ADB"/>
    <w:rsid w:val="00A07283"/>
    <w:rsid w:val="00A12875"/>
    <w:rsid w:val="00A13CA5"/>
    <w:rsid w:val="00A13FE6"/>
    <w:rsid w:val="00A155FB"/>
    <w:rsid w:val="00A23B00"/>
    <w:rsid w:val="00A25F3D"/>
    <w:rsid w:val="00A2657A"/>
    <w:rsid w:val="00A3087A"/>
    <w:rsid w:val="00A31670"/>
    <w:rsid w:val="00A31768"/>
    <w:rsid w:val="00A342FD"/>
    <w:rsid w:val="00A343DD"/>
    <w:rsid w:val="00A35F41"/>
    <w:rsid w:val="00A37B63"/>
    <w:rsid w:val="00A4138A"/>
    <w:rsid w:val="00A4252C"/>
    <w:rsid w:val="00A472AF"/>
    <w:rsid w:val="00A47C99"/>
    <w:rsid w:val="00A51295"/>
    <w:rsid w:val="00A51D01"/>
    <w:rsid w:val="00A532E6"/>
    <w:rsid w:val="00A53A2E"/>
    <w:rsid w:val="00A55247"/>
    <w:rsid w:val="00A554B7"/>
    <w:rsid w:val="00A56677"/>
    <w:rsid w:val="00A56F2C"/>
    <w:rsid w:val="00A6254E"/>
    <w:rsid w:val="00A63A06"/>
    <w:rsid w:val="00A63E62"/>
    <w:rsid w:val="00A6699F"/>
    <w:rsid w:val="00A677A4"/>
    <w:rsid w:val="00A67B5A"/>
    <w:rsid w:val="00A74277"/>
    <w:rsid w:val="00A8514D"/>
    <w:rsid w:val="00A87C36"/>
    <w:rsid w:val="00A909D4"/>
    <w:rsid w:val="00A9424E"/>
    <w:rsid w:val="00A94717"/>
    <w:rsid w:val="00AA0857"/>
    <w:rsid w:val="00AA2B22"/>
    <w:rsid w:val="00AA2E6E"/>
    <w:rsid w:val="00AA3A70"/>
    <w:rsid w:val="00AA5D64"/>
    <w:rsid w:val="00AB278B"/>
    <w:rsid w:val="00AB55AD"/>
    <w:rsid w:val="00AC7AD7"/>
    <w:rsid w:val="00AD0812"/>
    <w:rsid w:val="00AD59C1"/>
    <w:rsid w:val="00AE7040"/>
    <w:rsid w:val="00AF09FC"/>
    <w:rsid w:val="00AF2049"/>
    <w:rsid w:val="00B03A51"/>
    <w:rsid w:val="00B050BE"/>
    <w:rsid w:val="00B05424"/>
    <w:rsid w:val="00B06263"/>
    <w:rsid w:val="00B12EF7"/>
    <w:rsid w:val="00B1572B"/>
    <w:rsid w:val="00B24EDE"/>
    <w:rsid w:val="00B26879"/>
    <w:rsid w:val="00B27469"/>
    <w:rsid w:val="00B36D1A"/>
    <w:rsid w:val="00B41747"/>
    <w:rsid w:val="00B425ED"/>
    <w:rsid w:val="00B44520"/>
    <w:rsid w:val="00B46C9D"/>
    <w:rsid w:val="00B47B01"/>
    <w:rsid w:val="00B5529F"/>
    <w:rsid w:val="00B65EEA"/>
    <w:rsid w:val="00B6683D"/>
    <w:rsid w:val="00B721DF"/>
    <w:rsid w:val="00B734CD"/>
    <w:rsid w:val="00B73AA9"/>
    <w:rsid w:val="00B775B8"/>
    <w:rsid w:val="00B80D78"/>
    <w:rsid w:val="00B81B1C"/>
    <w:rsid w:val="00B8292F"/>
    <w:rsid w:val="00B8350E"/>
    <w:rsid w:val="00B93529"/>
    <w:rsid w:val="00B94019"/>
    <w:rsid w:val="00B97F66"/>
    <w:rsid w:val="00BA166A"/>
    <w:rsid w:val="00BA31CC"/>
    <w:rsid w:val="00BA4F81"/>
    <w:rsid w:val="00BA5471"/>
    <w:rsid w:val="00BB0BA2"/>
    <w:rsid w:val="00BB13EF"/>
    <w:rsid w:val="00BB7E5E"/>
    <w:rsid w:val="00BC0098"/>
    <w:rsid w:val="00BC0B47"/>
    <w:rsid w:val="00BC39FE"/>
    <w:rsid w:val="00BC7C6B"/>
    <w:rsid w:val="00BD1077"/>
    <w:rsid w:val="00BD1102"/>
    <w:rsid w:val="00BD2052"/>
    <w:rsid w:val="00BD3867"/>
    <w:rsid w:val="00BD5AE4"/>
    <w:rsid w:val="00BD7855"/>
    <w:rsid w:val="00BD79EC"/>
    <w:rsid w:val="00BE22C3"/>
    <w:rsid w:val="00BE3F5B"/>
    <w:rsid w:val="00BE53BA"/>
    <w:rsid w:val="00BE7DF2"/>
    <w:rsid w:val="00BF3657"/>
    <w:rsid w:val="00BF4D82"/>
    <w:rsid w:val="00BF76B0"/>
    <w:rsid w:val="00C0060B"/>
    <w:rsid w:val="00C04BC4"/>
    <w:rsid w:val="00C06A89"/>
    <w:rsid w:val="00C07110"/>
    <w:rsid w:val="00C14967"/>
    <w:rsid w:val="00C16A7D"/>
    <w:rsid w:val="00C224D0"/>
    <w:rsid w:val="00C23312"/>
    <w:rsid w:val="00C23705"/>
    <w:rsid w:val="00C2395E"/>
    <w:rsid w:val="00C23DC9"/>
    <w:rsid w:val="00C32EDA"/>
    <w:rsid w:val="00C413D4"/>
    <w:rsid w:val="00C41A9D"/>
    <w:rsid w:val="00C47FFC"/>
    <w:rsid w:val="00C50652"/>
    <w:rsid w:val="00C50F36"/>
    <w:rsid w:val="00C53068"/>
    <w:rsid w:val="00C54B57"/>
    <w:rsid w:val="00C56332"/>
    <w:rsid w:val="00C714D6"/>
    <w:rsid w:val="00C71589"/>
    <w:rsid w:val="00C72212"/>
    <w:rsid w:val="00C824C2"/>
    <w:rsid w:val="00C9423B"/>
    <w:rsid w:val="00C94A99"/>
    <w:rsid w:val="00C94C6B"/>
    <w:rsid w:val="00C94E54"/>
    <w:rsid w:val="00C975CD"/>
    <w:rsid w:val="00CA0B8C"/>
    <w:rsid w:val="00CA56B9"/>
    <w:rsid w:val="00CB2A7A"/>
    <w:rsid w:val="00CB34F8"/>
    <w:rsid w:val="00CB5F6C"/>
    <w:rsid w:val="00CB684D"/>
    <w:rsid w:val="00CC0845"/>
    <w:rsid w:val="00CC2CA7"/>
    <w:rsid w:val="00CC383C"/>
    <w:rsid w:val="00CC4A16"/>
    <w:rsid w:val="00CC6611"/>
    <w:rsid w:val="00CD308E"/>
    <w:rsid w:val="00CD3553"/>
    <w:rsid w:val="00CD4184"/>
    <w:rsid w:val="00CD52D0"/>
    <w:rsid w:val="00CD5F9D"/>
    <w:rsid w:val="00CD5FAF"/>
    <w:rsid w:val="00CD7D4C"/>
    <w:rsid w:val="00CE1B39"/>
    <w:rsid w:val="00CE1CEF"/>
    <w:rsid w:val="00CE6039"/>
    <w:rsid w:val="00CE6DC4"/>
    <w:rsid w:val="00CF0A2A"/>
    <w:rsid w:val="00CF0D4B"/>
    <w:rsid w:val="00CF2552"/>
    <w:rsid w:val="00D009E6"/>
    <w:rsid w:val="00D046A6"/>
    <w:rsid w:val="00D05E9A"/>
    <w:rsid w:val="00D061DA"/>
    <w:rsid w:val="00D111F7"/>
    <w:rsid w:val="00D15059"/>
    <w:rsid w:val="00D15A81"/>
    <w:rsid w:val="00D231F4"/>
    <w:rsid w:val="00D23814"/>
    <w:rsid w:val="00D26710"/>
    <w:rsid w:val="00D34BEE"/>
    <w:rsid w:val="00D369EE"/>
    <w:rsid w:val="00D37570"/>
    <w:rsid w:val="00D37767"/>
    <w:rsid w:val="00D4049F"/>
    <w:rsid w:val="00D41927"/>
    <w:rsid w:val="00D43D7F"/>
    <w:rsid w:val="00D44032"/>
    <w:rsid w:val="00D47689"/>
    <w:rsid w:val="00D54311"/>
    <w:rsid w:val="00D54D98"/>
    <w:rsid w:val="00D6128C"/>
    <w:rsid w:val="00D620E8"/>
    <w:rsid w:val="00D62B33"/>
    <w:rsid w:val="00D645A8"/>
    <w:rsid w:val="00D65068"/>
    <w:rsid w:val="00D6521B"/>
    <w:rsid w:val="00D67606"/>
    <w:rsid w:val="00D8108F"/>
    <w:rsid w:val="00D83A06"/>
    <w:rsid w:val="00D91574"/>
    <w:rsid w:val="00D91B11"/>
    <w:rsid w:val="00D91E02"/>
    <w:rsid w:val="00D94351"/>
    <w:rsid w:val="00D97526"/>
    <w:rsid w:val="00DA01B1"/>
    <w:rsid w:val="00DA0DDF"/>
    <w:rsid w:val="00DA1A05"/>
    <w:rsid w:val="00DA28F6"/>
    <w:rsid w:val="00DA3287"/>
    <w:rsid w:val="00DA517B"/>
    <w:rsid w:val="00DA7533"/>
    <w:rsid w:val="00DB0094"/>
    <w:rsid w:val="00DB401B"/>
    <w:rsid w:val="00DB5105"/>
    <w:rsid w:val="00DC0E60"/>
    <w:rsid w:val="00DC1308"/>
    <w:rsid w:val="00DC139A"/>
    <w:rsid w:val="00DC3295"/>
    <w:rsid w:val="00DC6BF0"/>
    <w:rsid w:val="00DD1CDF"/>
    <w:rsid w:val="00DD483A"/>
    <w:rsid w:val="00DD640A"/>
    <w:rsid w:val="00DE19BB"/>
    <w:rsid w:val="00DE332F"/>
    <w:rsid w:val="00DE40A3"/>
    <w:rsid w:val="00DE65B4"/>
    <w:rsid w:val="00DF2812"/>
    <w:rsid w:val="00DF52B9"/>
    <w:rsid w:val="00DF6944"/>
    <w:rsid w:val="00E02F1C"/>
    <w:rsid w:val="00E036F8"/>
    <w:rsid w:val="00E1134D"/>
    <w:rsid w:val="00E20A58"/>
    <w:rsid w:val="00E2232A"/>
    <w:rsid w:val="00E24AC8"/>
    <w:rsid w:val="00E26E07"/>
    <w:rsid w:val="00E274C1"/>
    <w:rsid w:val="00E30C3A"/>
    <w:rsid w:val="00E3457F"/>
    <w:rsid w:val="00E42EC9"/>
    <w:rsid w:val="00E45C74"/>
    <w:rsid w:val="00E47C2C"/>
    <w:rsid w:val="00E51326"/>
    <w:rsid w:val="00E51B1F"/>
    <w:rsid w:val="00E52F57"/>
    <w:rsid w:val="00E53FEC"/>
    <w:rsid w:val="00E60DC9"/>
    <w:rsid w:val="00E63F2B"/>
    <w:rsid w:val="00E65050"/>
    <w:rsid w:val="00E66A06"/>
    <w:rsid w:val="00E7541D"/>
    <w:rsid w:val="00E774FE"/>
    <w:rsid w:val="00E82033"/>
    <w:rsid w:val="00E86FD2"/>
    <w:rsid w:val="00E87740"/>
    <w:rsid w:val="00E87CFD"/>
    <w:rsid w:val="00E90748"/>
    <w:rsid w:val="00E93217"/>
    <w:rsid w:val="00E9371B"/>
    <w:rsid w:val="00E95930"/>
    <w:rsid w:val="00EA5C9F"/>
    <w:rsid w:val="00EA5D58"/>
    <w:rsid w:val="00EB3D30"/>
    <w:rsid w:val="00EB5308"/>
    <w:rsid w:val="00EC1406"/>
    <w:rsid w:val="00EC24B4"/>
    <w:rsid w:val="00EC40F7"/>
    <w:rsid w:val="00EC5305"/>
    <w:rsid w:val="00EC5C11"/>
    <w:rsid w:val="00EC79AD"/>
    <w:rsid w:val="00ED653F"/>
    <w:rsid w:val="00EE074B"/>
    <w:rsid w:val="00EE1E5D"/>
    <w:rsid w:val="00EE2ADD"/>
    <w:rsid w:val="00EE38E7"/>
    <w:rsid w:val="00EF1D38"/>
    <w:rsid w:val="00EF5F80"/>
    <w:rsid w:val="00EF7661"/>
    <w:rsid w:val="00EF77E0"/>
    <w:rsid w:val="00EF7D84"/>
    <w:rsid w:val="00F00624"/>
    <w:rsid w:val="00F012A1"/>
    <w:rsid w:val="00F03157"/>
    <w:rsid w:val="00F03A49"/>
    <w:rsid w:val="00F03CE6"/>
    <w:rsid w:val="00F03FE9"/>
    <w:rsid w:val="00F04A93"/>
    <w:rsid w:val="00F060D9"/>
    <w:rsid w:val="00F14E89"/>
    <w:rsid w:val="00F15BCF"/>
    <w:rsid w:val="00F2222A"/>
    <w:rsid w:val="00F2262C"/>
    <w:rsid w:val="00F234C6"/>
    <w:rsid w:val="00F27235"/>
    <w:rsid w:val="00F36608"/>
    <w:rsid w:val="00F36E9F"/>
    <w:rsid w:val="00F377EE"/>
    <w:rsid w:val="00F37FFD"/>
    <w:rsid w:val="00F4038B"/>
    <w:rsid w:val="00F41F82"/>
    <w:rsid w:val="00F46F29"/>
    <w:rsid w:val="00F47603"/>
    <w:rsid w:val="00F501FB"/>
    <w:rsid w:val="00F504BC"/>
    <w:rsid w:val="00F540F6"/>
    <w:rsid w:val="00F54C6B"/>
    <w:rsid w:val="00F56D22"/>
    <w:rsid w:val="00F57725"/>
    <w:rsid w:val="00F6176F"/>
    <w:rsid w:val="00F617C5"/>
    <w:rsid w:val="00F61ABD"/>
    <w:rsid w:val="00F6729A"/>
    <w:rsid w:val="00F703B3"/>
    <w:rsid w:val="00F747A5"/>
    <w:rsid w:val="00F74B4F"/>
    <w:rsid w:val="00F74F6A"/>
    <w:rsid w:val="00F8084A"/>
    <w:rsid w:val="00F82366"/>
    <w:rsid w:val="00F83AF6"/>
    <w:rsid w:val="00F83B2A"/>
    <w:rsid w:val="00F84114"/>
    <w:rsid w:val="00F8749A"/>
    <w:rsid w:val="00F904E7"/>
    <w:rsid w:val="00F92ACD"/>
    <w:rsid w:val="00F92B09"/>
    <w:rsid w:val="00FA02B4"/>
    <w:rsid w:val="00FA354B"/>
    <w:rsid w:val="00FA3B7D"/>
    <w:rsid w:val="00FB21AF"/>
    <w:rsid w:val="00FB58BE"/>
    <w:rsid w:val="00FB5ACE"/>
    <w:rsid w:val="00FB706C"/>
    <w:rsid w:val="00FC048F"/>
    <w:rsid w:val="00FC60B0"/>
    <w:rsid w:val="00FD35EF"/>
    <w:rsid w:val="00FD5AED"/>
    <w:rsid w:val="00FD6E46"/>
    <w:rsid w:val="00FD7122"/>
    <w:rsid w:val="00FD7FAF"/>
    <w:rsid w:val="00FE0AC0"/>
    <w:rsid w:val="00FE130A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105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05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56F2C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0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0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E6D3E"/>
    <w:pPr>
      <w:spacing w:before="100" w:beforeAutospacing="1" w:after="100" w:afterAutospacing="1"/>
    </w:pPr>
  </w:style>
  <w:style w:type="character" w:customStyle="1" w:styleId="Titre4Car">
    <w:name w:val="Titre 4 Car"/>
    <w:link w:val="Titre4"/>
    <w:uiPriority w:val="9"/>
    <w:rsid w:val="00A56F2C"/>
    <w:rPr>
      <w:rFonts w:ascii="Calibri" w:eastAsia="Times New Roman" w:hAnsi="Calibri" w:cs="Arial"/>
      <w:b/>
      <w:bCs/>
      <w:sz w:val="28"/>
      <w:szCs w:val="28"/>
    </w:rPr>
  </w:style>
  <w:style w:type="paragraph" w:customStyle="1" w:styleId="Textbody">
    <w:name w:val="Text body"/>
    <w:basedOn w:val="Normal"/>
    <w:rsid w:val="003F3A36"/>
    <w:pPr>
      <w:widowControl w:val="0"/>
      <w:suppressAutoHyphens/>
      <w:autoSpaceDN w:val="0"/>
      <w:spacing w:after="120"/>
      <w:textAlignment w:val="baseline"/>
    </w:pPr>
    <w:rPr>
      <w:rFonts w:eastAsia="SimSun" w:cs="Lucida Sans"/>
      <w:kern w:val="3"/>
      <w:lang w:eastAsia="zh-CN" w:bidi="hi-I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4C16FF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4C16FF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A509C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7A509C"/>
    <w:rPr>
      <w:sz w:val="24"/>
      <w:szCs w:val="24"/>
    </w:rPr>
  </w:style>
  <w:style w:type="paragraph" w:styleId="TM4">
    <w:name w:val="toc 4"/>
    <w:basedOn w:val="Normal"/>
    <w:next w:val="Normal"/>
    <w:autoRedefine/>
    <w:uiPriority w:val="99"/>
    <w:rsid w:val="00AD59C1"/>
    <w:pPr>
      <w:ind w:left="540"/>
    </w:pPr>
    <w:rPr>
      <w:rFonts w:ascii="Calibri" w:hAnsi="Calibri" w:cs="Calibri"/>
      <w:sz w:val="20"/>
      <w:szCs w:val="20"/>
    </w:rPr>
  </w:style>
  <w:style w:type="character" w:customStyle="1" w:styleId="Titre2Car">
    <w:name w:val="Titre 2 Car"/>
    <w:link w:val="Titre2"/>
    <w:uiPriority w:val="9"/>
    <w:semiHidden/>
    <w:rsid w:val="0001050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01050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NormalNath">
    <w:name w:val="Normal Nath"/>
    <w:basedOn w:val="Normal"/>
    <w:rsid w:val="00C714D6"/>
    <w:pPr>
      <w:suppressAutoHyphens/>
      <w:jc w:val="both"/>
    </w:pPr>
    <w:rPr>
      <w:rFonts w:ascii="Arial" w:hAnsi="Arial" w:cs="Arial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105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05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56F2C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0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0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E6D3E"/>
    <w:pPr>
      <w:spacing w:before="100" w:beforeAutospacing="1" w:after="100" w:afterAutospacing="1"/>
    </w:pPr>
  </w:style>
  <w:style w:type="character" w:customStyle="1" w:styleId="Titre4Car">
    <w:name w:val="Titre 4 Car"/>
    <w:link w:val="Titre4"/>
    <w:uiPriority w:val="9"/>
    <w:rsid w:val="00A56F2C"/>
    <w:rPr>
      <w:rFonts w:ascii="Calibri" w:eastAsia="Times New Roman" w:hAnsi="Calibri" w:cs="Arial"/>
      <w:b/>
      <w:bCs/>
      <w:sz w:val="28"/>
      <w:szCs w:val="28"/>
    </w:rPr>
  </w:style>
  <w:style w:type="paragraph" w:customStyle="1" w:styleId="Textbody">
    <w:name w:val="Text body"/>
    <w:basedOn w:val="Normal"/>
    <w:rsid w:val="003F3A36"/>
    <w:pPr>
      <w:widowControl w:val="0"/>
      <w:suppressAutoHyphens/>
      <w:autoSpaceDN w:val="0"/>
      <w:spacing w:after="120"/>
      <w:textAlignment w:val="baseline"/>
    </w:pPr>
    <w:rPr>
      <w:rFonts w:eastAsia="SimSun" w:cs="Lucida Sans"/>
      <w:kern w:val="3"/>
      <w:lang w:eastAsia="zh-CN" w:bidi="hi-I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4C16FF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4C16FF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A509C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7A509C"/>
    <w:rPr>
      <w:sz w:val="24"/>
      <w:szCs w:val="24"/>
    </w:rPr>
  </w:style>
  <w:style w:type="paragraph" w:styleId="TM4">
    <w:name w:val="toc 4"/>
    <w:basedOn w:val="Normal"/>
    <w:next w:val="Normal"/>
    <w:autoRedefine/>
    <w:uiPriority w:val="99"/>
    <w:rsid w:val="00AD59C1"/>
    <w:pPr>
      <w:ind w:left="540"/>
    </w:pPr>
    <w:rPr>
      <w:rFonts w:ascii="Calibri" w:hAnsi="Calibri" w:cs="Calibri"/>
      <w:sz w:val="20"/>
      <w:szCs w:val="20"/>
    </w:rPr>
  </w:style>
  <w:style w:type="character" w:customStyle="1" w:styleId="Titre2Car">
    <w:name w:val="Titre 2 Car"/>
    <w:link w:val="Titre2"/>
    <w:uiPriority w:val="9"/>
    <w:semiHidden/>
    <w:rsid w:val="0001050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01050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NormalNath">
    <w:name w:val="Normal Nath"/>
    <w:basedOn w:val="Normal"/>
    <w:rsid w:val="00C714D6"/>
    <w:pPr>
      <w:suppressAutoHyphens/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7.wmf"/><Relationship Id="rId112" Type="http://schemas.openxmlformats.org/officeDocument/2006/relationships/header" Target="header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6.wmf"/><Relationship Id="rId11" Type="http://schemas.openxmlformats.org/officeDocument/2006/relationships/image" Target="media/image6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53" Type="http://schemas.openxmlformats.org/officeDocument/2006/relationships/oleObject" Target="embeddings/oleObject21.bin"/><Relationship Id="rId58" Type="http://schemas.openxmlformats.org/officeDocument/2006/relationships/image" Target="media/image31.png"/><Relationship Id="rId66" Type="http://schemas.openxmlformats.org/officeDocument/2006/relationships/image" Target="media/image36.wmf"/><Relationship Id="rId74" Type="http://schemas.openxmlformats.org/officeDocument/2006/relationships/oleObject" Target="embeddings/oleObject31.bin"/><Relationship Id="rId79" Type="http://schemas.openxmlformats.org/officeDocument/2006/relationships/image" Target="media/image42.wmf"/><Relationship Id="rId87" Type="http://schemas.openxmlformats.org/officeDocument/2006/relationships/image" Target="media/image46.wmf"/><Relationship Id="rId102" Type="http://schemas.openxmlformats.org/officeDocument/2006/relationships/oleObject" Target="embeddings/oleObject45.bin"/><Relationship Id="rId110" Type="http://schemas.openxmlformats.org/officeDocument/2006/relationships/oleObject" Target="embeddings/oleObject49.bin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3.emf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95" Type="http://schemas.openxmlformats.org/officeDocument/2006/relationships/image" Target="media/image50.wmf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0.bin"/><Relationship Id="rId56" Type="http://schemas.openxmlformats.org/officeDocument/2006/relationships/image" Target="media/image30.wmf"/><Relationship Id="rId64" Type="http://schemas.openxmlformats.org/officeDocument/2006/relationships/image" Target="media/image35.wmf"/><Relationship Id="rId69" Type="http://schemas.openxmlformats.org/officeDocument/2006/relationships/image" Target="media/image37.png"/><Relationship Id="rId77" Type="http://schemas.openxmlformats.org/officeDocument/2006/relationships/image" Target="media/image41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5.wmf"/><Relationship Id="rId113" Type="http://schemas.openxmlformats.org/officeDocument/2006/relationships/footer" Target="footer1.xml"/><Relationship Id="rId8" Type="http://schemas.openxmlformats.org/officeDocument/2006/relationships/image" Target="media/image4.png"/><Relationship Id="rId51" Type="http://schemas.openxmlformats.org/officeDocument/2006/relationships/image" Target="media/image27.png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5.wmf"/><Relationship Id="rId93" Type="http://schemas.openxmlformats.org/officeDocument/2006/relationships/image" Target="media/image49.wmf"/><Relationship Id="rId98" Type="http://schemas.openxmlformats.org/officeDocument/2006/relationships/oleObject" Target="embeddings/oleObject43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2.wmf"/><Relationship Id="rId67" Type="http://schemas.openxmlformats.org/officeDocument/2006/relationships/oleObject" Target="embeddings/oleObject27.bin"/><Relationship Id="rId103" Type="http://schemas.openxmlformats.org/officeDocument/2006/relationships/image" Target="media/image54.wmf"/><Relationship Id="rId108" Type="http://schemas.openxmlformats.org/officeDocument/2006/relationships/oleObject" Target="embeddings/oleObject48.bin"/><Relationship Id="rId20" Type="http://schemas.openxmlformats.org/officeDocument/2006/relationships/oleObject" Target="embeddings/oleObject7.bin"/><Relationship Id="rId41" Type="http://schemas.openxmlformats.org/officeDocument/2006/relationships/image" Target="media/image21.wmf"/><Relationship Id="rId54" Type="http://schemas.openxmlformats.org/officeDocument/2006/relationships/image" Target="media/image29.wmf"/><Relationship Id="rId62" Type="http://schemas.openxmlformats.org/officeDocument/2006/relationships/image" Target="media/image34.wmf"/><Relationship Id="rId70" Type="http://schemas.openxmlformats.org/officeDocument/2006/relationships/oleObject" Target="embeddings/oleObject29.bin"/><Relationship Id="rId75" Type="http://schemas.openxmlformats.org/officeDocument/2006/relationships/image" Target="media/image40.wmf"/><Relationship Id="rId83" Type="http://schemas.openxmlformats.org/officeDocument/2006/relationships/image" Target="media/image44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8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7.bin"/><Relationship Id="rId114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image" Target="media/image22.png"/><Relationship Id="rId52" Type="http://schemas.openxmlformats.org/officeDocument/2006/relationships/image" Target="media/image28.wmf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73" Type="http://schemas.openxmlformats.org/officeDocument/2006/relationships/image" Target="media/image39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3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3" Type="http://schemas.openxmlformats.org/officeDocument/2006/relationships/image" Target="media/image7.wmf"/><Relationship Id="rId18" Type="http://schemas.openxmlformats.org/officeDocument/2006/relationships/oleObject" Target="embeddings/oleObject6.bin"/><Relationship Id="rId39" Type="http://schemas.openxmlformats.org/officeDocument/2006/relationships/image" Target="media/image20.wmf"/><Relationship Id="rId109" Type="http://schemas.openxmlformats.org/officeDocument/2006/relationships/image" Target="media/image57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6.png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46.bin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1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1374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8919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Energie potentielle électrostatique-Potentiel électrique</dc:title>
  <dc:creator>dataelouardi</dc:creator>
  <cp:keywords>Energie potentielle électrostatique-Potentiel électrique</cp:keywords>
  <cp:lastModifiedBy>DELL</cp:lastModifiedBy>
  <cp:revision>2</cp:revision>
  <cp:lastPrinted>2016-02-18T07:33:00Z</cp:lastPrinted>
  <dcterms:created xsi:type="dcterms:W3CDTF">2019-09-11T04:54:00Z</dcterms:created>
  <dcterms:modified xsi:type="dcterms:W3CDTF">2019-09-11T04:54:00Z</dcterms:modified>
  <cp:category>Energie potentielle électrostatique-Potentiel électrique</cp:category>
  <cp:contentStatus>Energie potentielle électrostatique-Potentiel électrique</cp:contentStatus>
</cp:coreProperties>
</file>